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FD" w:rsidRPr="00D17D10" w:rsidRDefault="001C78FD" w:rsidP="00964D54">
      <w:pPr>
        <w:jc w:val="center"/>
        <w:rPr>
          <w:rFonts w:asciiTheme="minorHAnsi" w:hAnsiTheme="minorHAnsi" w:cstheme="minorHAnsi"/>
          <w:b/>
          <w:bCs/>
          <w:spacing w:val="80"/>
          <w:sz w:val="32"/>
          <w:szCs w:val="32"/>
          <w:lang w:val="en-US"/>
        </w:rPr>
      </w:pPr>
      <w:r w:rsidRPr="00D17D10">
        <w:rPr>
          <w:rFonts w:asciiTheme="minorHAnsi" w:hAnsiTheme="minorHAnsi" w:cstheme="minorHAnsi"/>
          <w:b/>
          <w:bCs/>
          <w:sz w:val="44"/>
          <w:szCs w:val="44"/>
          <w:lang w:val="en-US"/>
        </w:rPr>
        <w:t>STANDARD BIDDING DOCUMENT</w:t>
      </w:r>
    </w:p>
    <w:p w:rsidR="001C78FD" w:rsidRPr="00D17D10" w:rsidRDefault="001C78FD" w:rsidP="00964D54">
      <w:pPr>
        <w:jc w:val="center"/>
        <w:rPr>
          <w:rFonts w:asciiTheme="minorHAnsi" w:hAnsiTheme="minorHAnsi" w:cstheme="minorHAnsi"/>
          <w:b/>
          <w:bCs/>
          <w:sz w:val="60"/>
          <w:lang w:val="en-US"/>
        </w:rPr>
      </w:pPr>
    </w:p>
    <w:p w:rsidR="0077323A" w:rsidRPr="00D17D10" w:rsidRDefault="0077323A" w:rsidP="00964D54">
      <w:pPr>
        <w:jc w:val="center"/>
        <w:rPr>
          <w:rFonts w:asciiTheme="minorHAnsi" w:hAnsiTheme="minorHAnsi" w:cstheme="minorHAnsi"/>
          <w:b/>
          <w:bCs/>
          <w:sz w:val="60"/>
          <w:lang w:val="en-US"/>
        </w:rPr>
      </w:pPr>
    </w:p>
    <w:p w:rsidR="001C78FD" w:rsidRPr="00D17D10" w:rsidRDefault="001C78FD" w:rsidP="00964D54">
      <w:pPr>
        <w:jc w:val="center"/>
        <w:rPr>
          <w:rFonts w:asciiTheme="minorHAnsi" w:hAnsiTheme="minorHAnsi" w:cstheme="minorHAnsi"/>
          <w:b/>
          <w:bCs/>
          <w:sz w:val="48"/>
          <w:szCs w:val="48"/>
          <w:lang w:val="en-US"/>
        </w:rPr>
      </w:pPr>
      <w:r w:rsidRPr="00D17D10">
        <w:rPr>
          <w:rFonts w:asciiTheme="minorHAnsi" w:hAnsiTheme="minorHAnsi" w:cstheme="minorHAnsi"/>
          <w:b/>
          <w:bCs/>
          <w:sz w:val="48"/>
          <w:szCs w:val="48"/>
          <w:lang w:val="en-US"/>
        </w:rPr>
        <w:t>Procurement of Works</w:t>
      </w:r>
    </w:p>
    <w:p w:rsidR="0077323A" w:rsidRPr="00D17D10" w:rsidRDefault="001C78FD" w:rsidP="00964D54">
      <w:pPr>
        <w:pStyle w:val="Heading8"/>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pStyle w:val="Heading8"/>
        <w:jc w:val="center"/>
        <w:rPr>
          <w:rFonts w:asciiTheme="minorHAnsi" w:hAnsiTheme="minorHAnsi" w:cstheme="minorHAnsi"/>
          <w:sz w:val="28"/>
          <w:szCs w:val="28"/>
          <w:lang w:val="en-US"/>
        </w:rPr>
      </w:pPr>
      <w:r w:rsidRPr="00D17D10">
        <w:rPr>
          <w:rFonts w:asciiTheme="minorHAnsi" w:hAnsiTheme="minorHAnsi" w:cstheme="minorHAnsi"/>
          <w:sz w:val="28"/>
          <w:szCs w:val="28"/>
          <w:lang w:val="en-US"/>
        </w:rPr>
        <w:t>[For works up to NR</w:t>
      </w:r>
      <w:r w:rsidR="00D93992" w:rsidRPr="00D17D10">
        <w:rPr>
          <w:rFonts w:asciiTheme="minorHAnsi" w:hAnsiTheme="minorHAnsi" w:cstheme="minorHAnsi"/>
          <w:sz w:val="28"/>
          <w:szCs w:val="28"/>
          <w:lang w:val="en-US"/>
        </w:rPr>
        <w:t>S</w:t>
      </w:r>
      <w:r w:rsidRPr="00D17D10">
        <w:rPr>
          <w:rFonts w:asciiTheme="minorHAnsi" w:hAnsiTheme="minorHAnsi" w:cstheme="minorHAnsi"/>
          <w:sz w:val="28"/>
          <w:szCs w:val="28"/>
          <w:lang w:val="en-US"/>
        </w:rPr>
        <w:t>.2 Million]</w:t>
      </w: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Issued by:</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Government of Nepal</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Public Procurement Monitoring Office</w:t>
      </w:r>
    </w:p>
    <w:p w:rsidR="001C78FD" w:rsidRPr="00D17D10" w:rsidRDefault="001C78FD" w:rsidP="00964D54">
      <w:pPr>
        <w:tabs>
          <w:tab w:val="left" w:pos="1368"/>
        </w:tabs>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Tahachal, Kathmandu</w:t>
      </w:r>
    </w:p>
    <w:p w:rsidR="001C78FD" w:rsidRPr="00D17D10" w:rsidRDefault="001C78FD" w:rsidP="00964D54">
      <w:pPr>
        <w:tabs>
          <w:tab w:val="left" w:pos="1368"/>
        </w:tabs>
        <w:jc w:val="center"/>
        <w:rPr>
          <w:rFonts w:asciiTheme="minorHAnsi" w:hAnsiTheme="minorHAnsi" w:cstheme="minorHAnsi"/>
          <w:sz w:val="36"/>
          <w:szCs w:val="36"/>
          <w:lang w:val="en-US"/>
        </w:rPr>
      </w:pPr>
    </w:p>
    <w:p w:rsidR="001C78FD" w:rsidRPr="00D17D10" w:rsidRDefault="007658DD" w:rsidP="00964D54">
      <w:pPr>
        <w:jc w:val="center"/>
        <w:rPr>
          <w:rFonts w:asciiTheme="minorHAnsi" w:hAnsiTheme="minorHAnsi" w:cstheme="minorHAnsi"/>
          <w:bCs/>
          <w:sz w:val="36"/>
          <w:szCs w:val="36"/>
          <w:lang w:val="en-US"/>
        </w:rPr>
      </w:pPr>
      <w:r w:rsidRPr="00D17D10">
        <w:rPr>
          <w:rFonts w:asciiTheme="minorHAnsi" w:hAnsiTheme="minorHAnsi" w:cstheme="minorHAnsi"/>
          <w:bCs/>
          <w:sz w:val="36"/>
          <w:szCs w:val="36"/>
          <w:lang w:val="en-US"/>
        </w:rPr>
        <w:t xml:space="preserve">July, </w:t>
      </w:r>
      <w:r w:rsidR="001C78FD" w:rsidRPr="00D17D10">
        <w:rPr>
          <w:rFonts w:asciiTheme="minorHAnsi" w:hAnsiTheme="minorHAnsi" w:cstheme="minorHAnsi"/>
          <w:bCs/>
          <w:sz w:val="36"/>
          <w:szCs w:val="36"/>
          <w:lang w:val="en-US"/>
        </w:rPr>
        <w:t xml:space="preserve"> 2017</w:t>
      </w:r>
    </w:p>
    <w:p w:rsidR="001C78FD" w:rsidRPr="00D17D10" w:rsidRDefault="001C78FD" w:rsidP="00964D54">
      <w:pPr>
        <w:spacing w:line="276" w:lineRule="auto"/>
        <w:jc w:val="center"/>
        <w:rPr>
          <w:rFonts w:asciiTheme="minorHAnsi" w:eastAsia="Arial Unicode MS" w:hAnsiTheme="minorHAnsi" w:cstheme="minorHAnsi"/>
          <w:w w:val="97"/>
          <w:sz w:val="52"/>
          <w:szCs w:val="52"/>
          <w:lang w:val="en-US"/>
        </w:rPr>
      </w:pPr>
      <w:r w:rsidRPr="00D17D10">
        <w:rPr>
          <w:rFonts w:asciiTheme="minorHAnsi" w:hAnsiTheme="minorHAnsi" w:cstheme="minorHAnsi"/>
          <w:bCs/>
          <w:sz w:val="36"/>
          <w:szCs w:val="36"/>
          <w:lang w:val="en-US"/>
        </w:rPr>
        <w:br w:type="page"/>
      </w:r>
      <w:r w:rsidRPr="00D17D10">
        <w:rPr>
          <w:rFonts w:asciiTheme="minorHAnsi" w:eastAsia="Arial Unicode MS" w:hAnsiTheme="minorHAnsi" w:cstheme="minorHAnsi"/>
          <w:w w:val="97"/>
          <w:sz w:val="52"/>
          <w:szCs w:val="52"/>
          <w:lang w:val="en-US"/>
        </w:rPr>
        <w:lastRenderedPageBreak/>
        <w:t>BIDDING DOCUMENT</w:t>
      </w:r>
    </w:p>
    <w:p w:rsidR="001C78FD" w:rsidRPr="00D17D10" w:rsidRDefault="001C78FD" w:rsidP="00964D54">
      <w:pPr>
        <w:widowControl w:val="0"/>
        <w:autoSpaceDE w:val="0"/>
        <w:autoSpaceDN w:val="0"/>
        <w:adjustRightInd w:val="0"/>
        <w:spacing w:line="552" w:lineRule="exact"/>
        <w:ind w:left="2441"/>
        <w:rPr>
          <w:rFonts w:asciiTheme="minorHAnsi" w:eastAsia="Arial Unicode MS" w:hAnsiTheme="minorHAnsi" w:cstheme="minorHAnsi"/>
          <w:w w:val="97"/>
          <w:sz w:val="52"/>
          <w:szCs w:val="52"/>
          <w:lang w:val="en-US"/>
        </w:rPr>
      </w:pP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5"/>
          <w:sz w:val="48"/>
          <w:szCs w:val="48"/>
          <w:lang w:val="en-US"/>
        </w:rPr>
      </w:pPr>
      <w:r w:rsidRPr="00D17D10">
        <w:rPr>
          <w:rFonts w:asciiTheme="minorHAnsi" w:eastAsia="Arial Unicode MS" w:hAnsiTheme="minorHAnsi" w:cstheme="minorHAnsi"/>
          <w:w w:val="95"/>
          <w:sz w:val="48"/>
          <w:szCs w:val="48"/>
          <w:lang w:val="en-US"/>
        </w:rPr>
        <w:t>for</w:t>
      </w:r>
    </w:p>
    <w:p w:rsidR="001C78FD" w:rsidRPr="00D17D10" w:rsidRDefault="001C78FD" w:rsidP="00964D54">
      <w:pPr>
        <w:widowControl w:val="0"/>
        <w:autoSpaceDE w:val="0"/>
        <w:autoSpaceDN w:val="0"/>
        <w:adjustRightInd w:val="0"/>
        <w:spacing w:line="701" w:lineRule="exact"/>
        <w:rPr>
          <w:rFonts w:asciiTheme="minorHAnsi" w:eastAsia="Arial Unicode MS" w:hAnsiTheme="minorHAnsi" w:cstheme="minorHAnsi"/>
          <w:w w:val="95"/>
          <w:sz w:val="48"/>
          <w:szCs w:val="48"/>
          <w:lang w:val="en-US"/>
        </w:rPr>
      </w:pPr>
    </w:p>
    <w:p w:rsidR="001C78FD" w:rsidRPr="00D17D10" w:rsidRDefault="001C78FD" w:rsidP="00964D54">
      <w:pPr>
        <w:widowControl w:val="0"/>
        <w:autoSpaceDE w:val="0"/>
        <w:autoSpaceDN w:val="0"/>
        <w:adjustRightInd w:val="0"/>
        <w:spacing w:line="701" w:lineRule="exact"/>
        <w:jc w:val="center"/>
        <w:rPr>
          <w:rFonts w:asciiTheme="minorHAnsi" w:eastAsia="Arial Unicode MS" w:hAnsiTheme="minorHAnsi" w:cstheme="minorHAnsi"/>
          <w:w w:val="88"/>
          <w:sz w:val="61"/>
          <w:szCs w:val="61"/>
          <w:lang w:val="en-US"/>
        </w:rPr>
      </w:pPr>
      <w:r w:rsidRPr="00D17D10">
        <w:rPr>
          <w:rFonts w:asciiTheme="minorHAnsi" w:eastAsia="Arial Unicode MS" w:hAnsiTheme="minorHAnsi" w:cstheme="minorHAnsi"/>
          <w:w w:val="88"/>
          <w:sz w:val="61"/>
          <w:szCs w:val="61"/>
          <w:lang w:val="en-US"/>
        </w:rPr>
        <w:t>THE PROCUREMENT OF</w:t>
      </w: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identification of the Works]</w:t>
      </w: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2"/>
          <w:sz w:val="55"/>
          <w:szCs w:val="55"/>
          <w:lang w:val="en-US"/>
        </w:rPr>
      </w:pP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D17D10" w:rsidRDefault="001C78FD" w:rsidP="00964D54">
      <w:pPr>
        <w:widowControl w:val="0"/>
        <w:autoSpaceDE w:val="0"/>
        <w:autoSpaceDN w:val="0"/>
        <w:adjustRightInd w:val="0"/>
        <w:spacing w:line="621"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the name of Public Entity]</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w:t>
      </w:r>
      <w:r w:rsidRPr="002414B7">
        <w:rPr>
          <w:rFonts w:asciiTheme="minorHAnsi" w:eastAsia="Arial Unicode MS" w:hAnsiTheme="minorHAnsi" w:cstheme="minorHAnsi"/>
          <w:spacing w:val="-4"/>
          <w:sz w:val="28"/>
          <w:szCs w:val="28"/>
          <w:lang w:val="en-US"/>
        </w:rPr>
        <w:t xml:space="preserve"> No.</w:t>
      </w:r>
      <w:r w:rsidR="001C78FD" w:rsidRPr="00D17D10">
        <w:rPr>
          <w:rFonts w:asciiTheme="minorHAnsi" w:eastAsia="Arial Unicode MS" w:hAnsiTheme="minorHAnsi" w:cstheme="minorHAnsi"/>
          <w:spacing w:val="-4"/>
          <w:sz w:val="28"/>
          <w:szCs w:val="28"/>
          <w:lang w:val="en-US"/>
        </w:rPr>
        <w:t xml:space="preserve">.: </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p>
    <w:p w:rsidR="006E3AA8" w:rsidRPr="00D17D10" w:rsidRDefault="006E3AA8" w:rsidP="00C02D41">
      <w:pPr>
        <w:spacing w:line="360"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6E3AA8" w:rsidRPr="00D17D10" w:rsidRDefault="001C78FD" w:rsidP="00964D54">
      <w:pPr>
        <w:widowControl w:val="0"/>
        <w:autoSpaceDE w:val="0"/>
        <w:autoSpaceDN w:val="0"/>
        <w:adjustRightInd w:val="0"/>
        <w:spacing w:line="414" w:lineRule="exact"/>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Pr="00D17D10" w:rsidRDefault="004B53E2"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[Name of Employer]</w:t>
      </w:r>
    </w:p>
    <w:p w:rsidR="004B53E2" w:rsidRPr="00D17D10" w:rsidRDefault="004B53E2" w:rsidP="00964D54">
      <w:pPr>
        <w:widowControl w:val="0"/>
        <w:autoSpaceDE w:val="0"/>
        <w:autoSpaceDN w:val="0"/>
        <w:adjustRightInd w:val="0"/>
        <w:spacing w:line="276"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Pr="00D17D10">
        <w:rPr>
          <w:rFonts w:asciiTheme="minorHAnsi" w:eastAsia="Arial Unicode MS" w:hAnsiTheme="minorHAnsi" w:cstheme="minorHAnsi"/>
          <w:b/>
          <w:spacing w:val="-5"/>
          <w:sz w:val="22"/>
          <w:szCs w:val="22"/>
          <w:lang w:val="en-US"/>
        </w:rPr>
        <w:t>[Name of Contract]</w:t>
      </w: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Contract Identification No: ____________</w:t>
      </w:r>
      <w:r w:rsidRPr="00D17D10">
        <w:rPr>
          <w:rFonts w:asciiTheme="minorHAnsi" w:eastAsia="Arial Unicode MS" w:hAnsiTheme="minorHAnsi" w:cstheme="minorHAnsi"/>
          <w:spacing w:val="-5"/>
          <w:sz w:val="22"/>
          <w:szCs w:val="22"/>
          <w:lang w:val="en-US"/>
        </w:rPr>
        <w:t>Date of publication: ____________</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Pr="00D17D10">
        <w:rPr>
          <w:rFonts w:asciiTheme="minorHAnsi" w:hAnsiTheme="minorHAnsi" w:cstheme="minorHAnsi"/>
          <w:i/>
          <w:iCs/>
          <w:szCs w:val="22"/>
        </w:rPr>
        <w:t>[name of Employer]</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Pr="00D17D10">
        <w:rPr>
          <w:rFonts w:asciiTheme="minorHAnsi" w:hAnsiTheme="minorHAnsi" w:cstheme="minorHAnsi"/>
          <w:b/>
          <w:i/>
          <w:iCs/>
          <w:szCs w:val="22"/>
        </w:rPr>
        <w:t>[brief description of the Works</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Pr="00D17D10">
        <w:rPr>
          <w:rFonts w:asciiTheme="minorHAnsi" w:hAnsiTheme="minorHAnsi" w:cstheme="minorHAnsi"/>
          <w:b/>
          <w:i/>
          <w:szCs w:val="22"/>
        </w:rPr>
        <w:t>[amount in Rupees]</w:t>
      </w:r>
      <w:r w:rsidR="00816251" w:rsidRPr="00D17D10">
        <w:rPr>
          <w:rFonts w:asciiTheme="minorHAnsi" w:eastAsia="Arial Unicode MS" w:hAnsiTheme="minorHAnsi" w:cstheme="minorHAnsi"/>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4"/>
          <w:szCs w:val="22"/>
        </w:rPr>
        <w:t xml:space="preserve">Eligible Bidders may obtain further information and inspect the Bidding Documents at the office </w:t>
      </w:r>
      <w:r w:rsidRPr="00D17D10">
        <w:rPr>
          <w:rFonts w:asciiTheme="minorHAnsi" w:eastAsia="Arial Unicode MS" w:hAnsiTheme="minorHAnsi" w:cstheme="minorHAnsi"/>
          <w:spacing w:val="-3"/>
          <w:szCs w:val="22"/>
        </w:rPr>
        <w:t xml:space="preserve">of </w:t>
      </w:r>
      <w:r w:rsidRPr="00D17D10">
        <w:rPr>
          <w:rFonts w:asciiTheme="minorHAnsi" w:eastAsia="Arial Unicode MS" w:hAnsiTheme="minorHAnsi" w:cstheme="minorHAnsi"/>
          <w:b/>
          <w:bCs/>
          <w:i/>
          <w:iCs/>
          <w:spacing w:val="-3"/>
          <w:szCs w:val="22"/>
        </w:rPr>
        <w:t xml:space="preserve">[Name, location, mailing address, telephone and facsimile numbers and email address of </w:t>
      </w:r>
      <w:r w:rsidRPr="00D17D10">
        <w:rPr>
          <w:rFonts w:asciiTheme="minorHAnsi" w:eastAsia="Arial Unicode MS" w:hAnsiTheme="minorHAnsi" w:cstheme="minorHAnsi"/>
          <w:b/>
          <w:bCs/>
          <w:i/>
          <w:iCs/>
          <w:spacing w:val="-4"/>
          <w:szCs w:val="22"/>
        </w:rPr>
        <w:t>the Employer]</w:t>
      </w:r>
      <w:r w:rsidR="00FC099F" w:rsidRPr="00D17D10">
        <w:rPr>
          <w:rFonts w:asciiTheme="minorHAnsi" w:eastAsia="Arial Unicode MS" w:hAnsiTheme="minorHAnsi" w:cstheme="minorHAnsi"/>
          <w:i/>
          <w:iCs/>
          <w:spacing w:val="-4"/>
          <w:szCs w:val="22"/>
        </w:rPr>
        <w:t>[</w:t>
      </w:r>
      <w:r w:rsidRPr="00D17D10">
        <w:rPr>
          <w:rFonts w:asciiTheme="minorHAnsi" w:eastAsia="Arial Unicode MS" w:hAnsiTheme="minorHAnsi" w:cstheme="minorHAnsi"/>
          <w:i/>
          <w:iCs/>
          <w:spacing w:val="-4"/>
          <w:szCs w:val="22"/>
        </w:rPr>
        <w:t xml:space="preserve">or may visit PPMO website </w:t>
      </w:r>
      <w:hyperlink r:id="rId8" w:history="1">
        <w:r w:rsidR="00B2048C" w:rsidRPr="00D17D10">
          <w:rPr>
            <w:rStyle w:val="Hyperlink"/>
            <w:rFonts w:asciiTheme="minorHAnsi" w:eastAsia="Arial Unicode MS" w:hAnsiTheme="minorHAnsi" w:cstheme="minorHAnsi"/>
            <w:i/>
            <w:iCs/>
            <w:color w:val="auto"/>
            <w:spacing w:val="-4"/>
            <w:szCs w:val="22"/>
          </w:rPr>
          <w:t>www.bolpatra.gov.np</w:t>
        </w:r>
      </w:hyperlink>
      <w:r w:rsidRPr="00D17D10">
        <w:rPr>
          <w:rFonts w:asciiTheme="minorHAnsi" w:eastAsia="Arial Unicode MS" w:hAnsiTheme="minorHAnsi" w:cstheme="minorHAnsi"/>
          <w:i/>
          <w:iCs/>
          <w:spacing w:val="-4"/>
          <w:szCs w:val="22"/>
        </w:rPr>
        <w:t>.</w:t>
      </w:r>
      <w:r w:rsidR="00FC099F" w:rsidRPr="00D17D10">
        <w:rPr>
          <w:rFonts w:asciiTheme="minorHAnsi" w:eastAsia="Arial Unicode MS" w:hAnsiTheme="minorHAnsi" w:cstheme="minorHAnsi"/>
          <w:i/>
          <w:iCs/>
          <w:spacing w:val="-4"/>
          <w:szCs w:val="22"/>
        </w:rPr>
        <w:t>]</w:t>
      </w:r>
    </w:p>
    <w:p w:rsidR="00181CEE" w:rsidRPr="00D17D10" w:rsidRDefault="00181CEE" w:rsidP="00964D54">
      <w:pPr>
        <w:pStyle w:val="ListParagraph"/>
        <w:spacing w:after="0"/>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Pr="00D17D10">
        <w:rPr>
          <w:rFonts w:asciiTheme="minorHAnsi" w:eastAsia="Arial Unicode MS" w:hAnsiTheme="minorHAnsi" w:cstheme="minorHAnsi"/>
          <w:b/>
          <w:bCs/>
          <w:iCs/>
          <w:spacing w:val="-3"/>
          <w:szCs w:val="22"/>
        </w:rPr>
        <w:t>[insert name and address]</w:t>
      </w:r>
      <w:r w:rsidRPr="00D17D10">
        <w:rPr>
          <w:rFonts w:asciiTheme="minorHAnsi" w:eastAsia="Arial Unicode MS" w:hAnsiTheme="minorHAnsi" w:cstheme="minorHAnsi"/>
          <w:spacing w:val="-3"/>
          <w:szCs w:val="22"/>
        </w:rPr>
        <w:t xml:space="preserve"> and the office </w:t>
      </w:r>
      <w:r w:rsidRPr="00D17D10">
        <w:rPr>
          <w:rFonts w:asciiTheme="minorHAnsi" w:eastAsia="Arial Unicode MS" w:hAnsiTheme="minorHAnsi" w:cstheme="minorHAnsi"/>
          <w:b/>
          <w:bCs/>
          <w:i/>
          <w:iCs/>
          <w:spacing w:val="-3"/>
          <w:szCs w:val="22"/>
        </w:rPr>
        <w:t>[insert name and address]</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Pr="00D17D10">
        <w:rPr>
          <w:rFonts w:asciiTheme="minorHAnsi" w:eastAsia="Arial Unicode MS" w:hAnsiTheme="minorHAnsi" w:cstheme="minorHAnsi"/>
          <w:b/>
          <w:bCs/>
          <w:i/>
          <w:iCs/>
          <w:spacing w:val="-2"/>
          <w:szCs w:val="22"/>
        </w:rPr>
        <w:t>[Insert date]</w:t>
      </w:r>
      <w:r w:rsidRPr="00D17D10">
        <w:rPr>
          <w:rStyle w:val="FootnoteReference"/>
          <w:rFonts w:asciiTheme="minorHAnsi" w:eastAsia="Arial Unicode MS" w:hAnsiTheme="minorHAnsi" w:cstheme="minorHAnsi"/>
          <w:b/>
          <w:bCs/>
          <w:i/>
          <w:iCs/>
          <w:spacing w:val="-2"/>
          <w:szCs w:val="22"/>
        </w:rPr>
        <w:footnoteReference w:id="2"/>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b/>
          <w:bCs/>
          <w:spacing w:val="-4"/>
          <w:szCs w:val="22"/>
        </w:rPr>
      </w:pPr>
      <w:r w:rsidRPr="00D17D10">
        <w:rPr>
          <w:rFonts w:asciiTheme="minorHAnsi" w:eastAsia="Arial Unicode MS" w:hAnsiTheme="minorHAnsi" w:cstheme="minorHAnsi"/>
          <w:b/>
          <w:bCs/>
          <w:i/>
          <w:iCs/>
          <w:spacing w:val="-2"/>
          <w:szCs w:val="22"/>
        </w:rPr>
        <w:t>[if electronic bid is allowed, insert the following text : “</w:t>
      </w:r>
      <w:r w:rsidRPr="00D17D10">
        <w:rPr>
          <w:rFonts w:asciiTheme="minorHAnsi" w:eastAsia="Arial Unicode MS" w:hAnsiTheme="minorHAnsi" w:cstheme="minorHAnsi"/>
          <w:b/>
          <w:bCs/>
          <w:i/>
          <w:iCs/>
          <w:spacing w:val="-5"/>
          <w:szCs w:val="22"/>
        </w:rPr>
        <w:t xml:space="preserve">Bidder who chooses to submit their bid electronically may download the bidding documents for e-submission from PPMO’s e-GP  [insert the name of e-GP system i.e www.bopatra.gov.np/egp]. Bidders, submitting their bid electronically,  should  deposit  the  cost  of  bidding  document  in  the following account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Name of the Bank: …………………..</w:t>
      </w:r>
      <w:r w:rsidRPr="00D17D10">
        <w:rPr>
          <w:rFonts w:asciiTheme="minorHAnsi" w:eastAsia="Arial Unicode MS" w:hAnsiTheme="minorHAnsi" w:cstheme="minorHAnsi"/>
          <w:b/>
          <w:bCs/>
          <w:i/>
          <w:iCs/>
          <w:spacing w:val="-5"/>
          <w:szCs w:val="22"/>
        </w:rPr>
        <w:tab/>
        <w:t>Name of Office: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Office Code no. :……………..</w:t>
      </w:r>
      <w:r w:rsidRPr="00D17D10">
        <w:rPr>
          <w:rFonts w:asciiTheme="minorHAnsi" w:eastAsia="Arial Unicode MS" w:hAnsiTheme="minorHAnsi" w:cstheme="minorHAnsi"/>
          <w:b/>
          <w:bCs/>
          <w:i/>
          <w:iCs/>
          <w:spacing w:val="-5"/>
          <w:szCs w:val="22"/>
        </w:rPr>
        <w:tab/>
      </w:r>
      <w:r w:rsidRPr="00D17D10">
        <w:rPr>
          <w:rFonts w:asciiTheme="minorHAnsi" w:eastAsia="Arial Unicode MS" w:hAnsiTheme="minorHAnsi" w:cstheme="minorHAnsi"/>
          <w:b/>
          <w:bCs/>
          <w:i/>
          <w:iCs/>
          <w:spacing w:val="-5"/>
          <w:szCs w:val="22"/>
        </w:rPr>
        <w:tab/>
        <w:t>Office Account no.: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Rajaswa (revenue) Shirshak no. : ………………………….”]</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Sealed bids must be submitted to the office [</w:t>
      </w:r>
      <w:r w:rsidRPr="00D17D10">
        <w:rPr>
          <w:rFonts w:asciiTheme="minorHAnsi" w:eastAsia="Arial Unicode MS" w:hAnsiTheme="minorHAnsi" w:cstheme="minorHAnsi"/>
          <w:b/>
          <w:bCs/>
          <w:i/>
          <w:iCs/>
          <w:spacing w:val="-2"/>
          <w:szCs w:val="22"/>
        </w:rPr>
        <w:t>Name and address</w:t>
      </w:r>
      <w:r w:rsidRPr="00D17D10">
        <w:rPr>
          <w:rFonts w:asciiTheme="minorHAnsi" w:eastAsia="Arial Unicode MS" w:hAnsiTheme="minorHAnsi" w:cstheme="minorHAnsi"/>
          <w:spacing w:val="-2"/>
          <w:szCs w:val="22"/>
        </w:rPr>
        <w:t xml:space="preserve">] by </w:t>
      </w:r>
      <w:r w:rsidRPr="00D17D10">
        <w:rPr>
          <w:rFonts w:asciiTheme="minorHAnsi" w:eastAsia="Arial Unicode MS" w:hAnsiTheme="minorHAnsi" w:cstheme="minorHAnsi"/>
          <w:i/>
          <w:iCs/>
          <w:spacing w:val="-2"/>
          <w:szCs w:val="22"/>
        </w:rPr>
        <w:t xml:space="preserve">hand </w:t>
      </w:r>
      <w:r w:rsidR="008C6F0E" w:rsidRPr="00D17D10">
        <w:rPr>
          <w:rFonts w:asciiTheme="minorHAnsi" w:eastAsia="Arial Unicode MS" w:hAnsiTheme="minorHAnsi" w:cstheme="minorHAnsi"/>
          <w:i/>
          <w:iCs/>
          <w:spacing w:val="-2"/>
          <w:szCs w:val="22"/>
        </w:rPr>
        <w:t>[</w:t>
      </w:r>
      <w:r w:rsidRPr="00D17D10">
        <w:rPr>
          <w:rFonts w:asciiTheme="minorHAnsi" w:eastAsia="Arial Unicode MS" w:hAnsiTheme="minorHAnsi" w:cstheme="minorHAnsi"/>
          <w:i/>
          <w:iCs/>
          <w:spacing w:val="-2"/>
          <w:szCs w:val="22"/>
        </w:rPr>
        <w:t xml:space="preserve">or through </w:t>
      </w:r>
      <w:r w:rsidR="00447301" w:rsidRPr="00D17D10">
        <w:rPr>
          <w:rFonts w:asciiTheme="minorHAnsi" w:eastAsia="Arial Unicode MS" w:hAnsiTheme="minorHAnsi" w:cstheme="minorHAnsi"/>
          <w:bCs/>
          <w:i/>
          <w:iCs/>
          <w:spacing w:val="-5"/>
          <w:szCs w:val="22"/>
        </w:rPr>
        <w:t>insert the name of e-GP system i.e</w:t>
      </w:r>
      <w:hyperlink r:id="rId9" w:history="1">
        <w:r w:rsidR="007B6BD4" w:rsidRPr="00D17D10">
          <w:rPr>
            <w:rStyle w:val="Hyperlink"/>
            <w:rFonts w:asciiTheme="minorHAnsi" w:eastAsia="Arial Unicode MS" w:hAnsiTheme="minorHAnsi" w:cstheme="minorHAnsi"/>
            <w:bCs/>
            <w:i/>
            <w:iCs/>
            <w:color w:val="auto"/>
            <w:spacing w:val="-5"/>
            <w:szCs w:val="22"/>
          </w:rPr>
          <w:t>www.bopatra.gov.np/egp</w:t>
        </w:r>
      </w:hyperlink>
      <w:r w:rsidR="00447301" w:rsidRPr="00D17D10">
        <w:rPr>
          <w:rFonts w:asciiTheme="minorHAnsi" w:eastAsia="Arial Unicode MS" w:hAnsiTheme="minorHAnsi" w:cstheme="minorHAnsi"/>
          <w:bCs/>
          <w:i/>
          <w:iCs/>
          <w:spacing w:val="-5"/>
          <w:szCs w:val="22"/>
        </w:rPr>
        <w:t>]</w:t>
      </w:r>
      <w:r w:rsidRPr="00D17D10">
        <w:rPr>
          <w:rFonts w:asciiTheme="minorHAnsi" w:eastAsia="Arial Unicode MS" w:hAnsiTheme="minorHAnsi" w:cstheme="minorHAnsi"/>
          <w:spacing w:val="-2"/>
          <w:szCs w:val="22"/>
        </w:rPr>
        <w:t>on or before [</w:t>
      </w:r>
      <w:r w:rsidRPr="00D17D10">
        <w:rPr>
          <w:rFonts w:asciiTheme="minorHAnsi" w:eastAsia="Arial Unicode MS" w:hAnsiTheme="minorHAnsi" w:cstheme="minorHAnsi"/>
          <w:b/>
          <w:bCs/>
          <w:i/>
          <w:iCs/>
          <w:spacing w:val="-2"/>
          <w:szCs w:val="22"/>
        </w:rPr>
        <w:t>Time</w:t>
      </w:r>
      <w:r w:rsidRPr="00D17D10">
        <w:rPr>
          <w:rFonts w:asciiTheme="minorHAnsi" w:eastAsia="Arial Unicode MS" w:hAnsiTheme="minorHAnsi" w:cstheme="minorHAnsi"/>
          <w:spacing w:val="-2"/>
          <w:szCs w:val="22"/>
        </w:rPr>
        <w:t xml:space="preserve">] on </w:t>
      </w:r>
      <w:r w:rsidRPr="00D17D10">
        <w:rPr>
          <w:rFonts w:asciiTheme="minorHAnsi" w:eastAsia="Arial Unicode MS" w:hAnsiTheme="minorHAnsi" w:cstheme="minorHAnsi"/>
          <w:spacing w:val="-5"/>
          <w:szCs w:val="22"/>
        </w:rPr>
        <w:t>[</w:t>
      </w:r>
      <w:r w:rsidRPr="00D17D10">
        <w:rPr>
          <w:rFonts w:asciiTheme="minorHAnsi" w:eastAsia="Arial Unicode MS" w:hAnsiTheme="minorHAnsi" w:cstheme="minorHAnsi"/>
          <w:b/>
          <w:bCs/>
          <w:i/>
          <w:iCs/>
          <w:spacing w:val="-2"/>
          <w:szCs w:val="22"/>
        </w:rPr>
        <w:t>Date]</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Pr="00D17D10">
        <w:rPr>
          <w:rFonts w:asciiTheme="minorHAnsi" w:eastAsia="Arial Unicode MS" w:hAnsiTheme="minorHAnsi" w:cstheme="minorHAnsi"/>
          <w:b/>
          <w:bCs/>
          <w:i/>
          <w:iCs/>
          <w:spacing w:val="-3"/>
          <w:szCs w:val="22"/>
        </w:rPr>
        <w:t>[</w:t>
      </w:r>
      <w:r w:rsidR="005E4CB4" w:rsidRPr="00D17D10">
        <w:rPr>
          <w:rFonts w:asciiTheme="minorHAnsi" w:eastAsia="Arial Unicode MS" w:hAnsiTheme="minorHAnsi" w:cstheme="minorHAnsi"/>
          <w:b/>
          <w:bCs/>
          <w:i/>
          <w:iCs/>
          <w:spacing w:val="-3"/>
          <w:szCs w:val="22"/>
        </w:rPr>
        <w:t xml:space="preserve">Insert </w:t>
      </w:r>
      <w:r w:rsidRPr="00D17D10">
        <w:rPr>
          <w:rFonts w:asciiTheme="minorHAnsi" w:eastAsia="Arial Unicode MS" w:hAnsiTheme="minorHAnsi" w:cstheme="minorHAnsi"/>
          <w:b/>
          <w:bCs/>
          <w:i/>
          <w:iCs/>
          <w:spacing w:val="-3"/>
          <w:szCs w:val="22"/>
        </w:rPr>
        <w:t xml:space="preserve"> date</w:t>
      </w:r>
      <w:r w:rsidR="00414666" w:rsidRPr="00D17D10">
        <w:rPr>
          <w:rFonts w:asciiTheme="minorHAnsi" w:eastAsia="Arial Unicode MS" w:hAnsiTheme="minorHAnsi" w:cstheme="minorHAnsi"/>
          <w:b/>
          <w:bCs/>
          <w:i/>
          <w:iCs/>
          <w:spacing w:val="-3"/>
          <w:szCs w:val="22"/>
        </w:rPr>
        <w:t xml:space="preserve"> and time</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Pr="00D17D10">
        <w:rPr>
          <w:rFonts w:asciiTheme="minorHAnsi" w:eastAsia="Arial Unicode MS" w:hAnsiTheme="minorHAnsi" w:cstheme="minorHAnsi"/>
          <w:i/>
          <w:iCs/>
          <w:spacing w:val="-3"/>
          <w:szCs w:val="22"/>
        </w:rPr>
        <w:t>[</w:t>
      </w:r>
      <w:r w:rsidR="007F66EF" w:rsidRPr="00D17D10">
        <w:rPr>
          <w:rFonts w:asciiTheme="minorHAnsi" w:eastAsia="Arial Unicode MS" w:hAnsiTheme="minorHAnsi" w:cstheme="minorHAnsi"/>
          <w:i/>
          <w:iCs/>
          <w:spacing w:val="-3"/>
          <w:szCs w:val="22"/>
        </w:rPr>
        <w:t>inser</w:t>
      </w:r>
      <w:r w:rsidR="007D3768" w:rsidRPr="00D17D10">
        <w:rPr>
          <w:rFonts w:asciiTheme="minorHAnsi" w:eastAsia="Arial Unicode MS" w:hAnsiTheme="minorHAnsi" w:cstheme="minorHAnsi"/>
          <w:i/>
          <w:iCs/>
          <w:spacing w:val="-3"/>
          <w:szCs w:val="22"/>
        </w:rPr>
        <w:t>t</w:t>
      </w:r>
      <w:r w:rsidR="007F66EF" w:rsidRPr="00D17D10">
        <w:rPr>
          <w:rFonts w:asciiTheme="minorHAnsi" w:eastAsia="Arial Unicode MS" w:hAnsiTheme="minorHAnsi" w:cstheme="minorHAnsi"/>
          <w:i/>
          <w:iCs/>
          <w:spacing w:val="-3"/>
          <w:szCs w:val="22"/>
        </w:rPr>
        <w:t xml:space="preserve"> the office a</w:t>
      </w:r>
      <w:r w:rsidRPr="00D17D10">
        <w:rPr>
          <w:rFonts w:asciiTheme="minorHAnsi" w:eastAsia="Arial Unicode MS" w:hAnsiTheme="minorHAnsi" w:cstheme="minorHAnsi"/>
          <w:i/>
          <w:iCs/>
          <w:spacing w:val="-3"/>
          <w:szCs w:val="22"/>
        </w:rPr>
        <w:t>ddress ]</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Pr="00D17D10">
        <w:rPr>
          <w:rFonts w:asciiTheme="minorHAnsi" w:eastAsia="Arial Unicode MS" w:hAnsiTheme="minorHAnsi" w:cstheme="minorHAnsi"/>
          <w:szCs w:val="22"/>
        </w:rPr>
        <w:t xml:space="preserve">of </w:t>
      </w:r>
      <w:r w:rsidRPr="00D17D10">
        <w:rPr>
          <w:rFonts w:asciiTheme="minorHAnsi" w:eastAsia="Arial Unicode MS" w:hAnsiTheme="minorHAnsi" w:cstheme="minorHAnsi"/>
          <w:b/>
          <w:szCs w:val="22"/>
        </w:rPr>
        <w:t>[</w:t>
      </w:r>
      <w:r w:rsidRPr="00D17D10">
        <w:rPr>
          <w:rFonts w:asciiTheme="minorHAnsi" w:hAnsiTheme="minorHAnsi" w:cstheme="minorHAnsi"/>
          <w:b/>
          <w:i/>
          <w:szCs w:val="22"/>
        </w:rPr>
        <w:t>insert amount (2 to 3 % of estimated amount)]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validity period of the bid (i.e. [</w:t>
      </w:r>
      <w:r w:rsidR="007D5AF2" w:rsidRPr="00D17D10">
        <w:rPr>
          <w:rFonts w:asciiTheme="minorHAnsi" w:eastAsia="Arial Unicode MS" w:hAnsiTheme="minorHAnsi" w:cstheme="minorHAnsi"/>
          <w:spacing w:val="-3"/>
          <w:szCs w:val="22"/>
        </w:rPr>
        <w:t>insert the date</w:t>
      </w:r>
      <w:r w:rsidRPr="00D17D10">
        <w:rPr>
          <w:rFonts w:asciiTheme="minorHAnsi" w:eastAsia="Arial Unicode MS" w:hAnsiTheme="minorHAnsi" w:cstheme="minorHAnsi"/>
          <w:spacing w:val="-3"/>
          <w:szCs w:val="22"/>
        </w:rPr>
        <w:t>])</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D17D10" w:rsidRDefault="004B53E2" w:rsidP="00964D54">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r w:rsidRPr="00D17D10">
        <w:rPr>
          <w:rFonts w:asciiTheme="minorHAnsi" w:eastAsia="Arial Unicode MS" w:hAnsiTheme="minorHAnsi" w:cstheme="minorHAnsi"/>
          <w:i/>
          <w:iCs/>
          <w:spacing w:val="-2"/>
          <w:sz w:val="22"/>
          <w:szCs w:val="22"/>
          <w:lang w:val="en-US"/>
        </w:rPr>
        <w:t>Note:</w:t>
      </w:r>
    </w:p>
    <w:p w:rsidR="004B53E2" w:rsidRPr="00D17D10" w:rsidRDefault="004B53E2" w:rsidP="00964D54">
      <w:pPr>
        <w:widowControl w:val="0"/>
        <w:autoSpaceDE w:val="0"/>
        <w:autoSpaceDN w:val="0"/>
        <w:adjustRightInd w:val="0"/>
        <w:spacing w:line="230" w:lineRule="exact"/>
        <w:jc w:val="both"/>
        <w:rPr>
          <w:rFonts w:asciiTheme="minorHAnsi" w:hAnsiTheme="minorHAnsi" w:cstheme="minorHAnsi"/>
          <w:szCs w:val="20"/>
          <w:lang w:val="en-US"/>
        </w:rPr>
      </w:pPr>
      <w:r w:rsidRPr="00D17D10">
        <w:rPr>
          <w:rFonts w:asciiTheme="minorHAnsi" w:eastAsia="Arial Unicode MS" w:hAnsiTheme="minorHAnsi" w:cstheme="minorHAnsi"/>
          <w:i/>
          <w:iCs/>
          <w:spacing w:val="-1"/>
          <w:szCs w:val="20"/>
          <w:lang w:val="en-US"/>
        </w:rPr>
        <w:t>(As mentioned in clause 49ka of PPR 2064 clause 49ka ,add more relevant information as per required</w:t>
      </w:r>
      <w:r w:rsidRPr="00D17D10">
        <w:rPr>
          <w:rFonts w:asciiTheme="minorHAnsi" w:eastAsia="Arial Unicode MS" w:hAnsiTheme="minorHAnsi" w:cstheme="minorHAnsi"/>
          <w:spacing w:val="-1"/>
          <w:szCs w:val="20"/>
          <w:lang w:val="en-US"/>
        </w:rPr>
        <w:t>)</w:t>
      </w: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p>
        </w:tc>
        <w:tc>
          <w:tcPr>
            <w:tcW w:w="7650" w:type="dxa"/>
          </w:tcPr>
          <w:p w:rsidR="00BC5687" w:rsidRPr="00D17D10" w:rsidRDefault="00A02C0A" w:rsidP="002414B7">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The Bidder shall fill in rates 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"A" class commercial bank 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w:t>
            </w:r>
            <w:r w:rsidR="00B31203" w:rsidRPr="00D17D10">
              <w:rPr>
                <w:rFonts w:asciiTheme="minorHAnsi" w:hAnsiTheme="minorHAnsi" w:cstheme="minorHAnsi"/>
                <w:sz w:val="22"/>
                <w:szCs w:val="22"/>
                <w:lang w:val="en-US"/>
              </w:rPr>
              <w:lastRenderedPageBreak/>
              <w:t>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lastRenderedPageBreak/>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Pr="00D17D10" w:rsidRDefault="00C769AA" w:rsidP="00964D54">
            <w:pPr>
              <w:widowControl w:val="0"/>
              <w:autoSpaceDE w:val="0"/>
              <w:autoSpaceDN w:val="0"/>
              <w:adjustRightInd w:val="0"/>
              <w:ind w:left="270" w:hanging="270"/>
              <w:jc w:val="both"/>
              <w:rPr>
                <w:rFonts w:asciiTheme="minorHAnsi" w:hAnsiTheme="minorHAnsi" w:cstheme="minorHAnsi"/>
                <w:sz w:val="22"/>
                <w:szCs w:val="22"/>
                <w:lang w:val="en-US"/>
              </w:rPr>
            </w:pPr>
            <w:r w:rsidRPr="00D17D10">
              <w:rPr>
                <w:rFonts w:asciiTheme="minorHAnsi" w:eastAsia="Arial Unicode MS" w:hAnsiTheme="minorHAnsi" w:cstheme="minorHAnsi"/>
                <w:spacing w:val="-3"/>
                <w:sz w:val="22"/>
                <w:szCs w:val="22"/>
                <w:lang w:val="en-US"/>
              </w:rPr>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w:t>
            </w:r>
            <w:r w:rsidRPr="00D17D10">
              <w:rPr>
                <w:rFonts w:asciiTheme="minorHAnsi" w:hAnsiTheme="minorHAnsi" w:cstheme="minorHAnsi"/>
                <w:sz w:val="22"/>
                <w:szCs w:val="22"/>
                <w:lang w:val="en-US"/>
              </w:rPr>
              <w:lastRenderedPageBreak/>
              <w:t xml:space="preserve">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22.2 If the bid, which results in the lowest Evaluated Bid price, is unbalanced or frontloaded in relation to the Employer’s estimate of the items of Work to be performed under the contract, the Employer shall ask the bidder to give clarification with detailed rate analysis for any or all items of the Bill of Quantities. If the clarification is found satisfactory then the Employer shall increase at the expense of the bidder the performance security set forth in Clause 25 by an additional 8% of the quoted amount to protect the Employer against financial loss in the event of default of the successful bidder under the contract and if the clarification is found unsatisfactory then the Employer may reject such bid.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A  class  Commercial  Bank  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lastRenderedPageBreak/>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contract agreement signed by the bidder was 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A67C30" w:rsidRPr="00D17D10" w:rsidRDefault="00D65C9D"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67C30" w:rsidRPr="00D17D10">
              <w:rPr>
                <w:rFonts w:asciiTheme="minorHAnsi" w:eastAsia="Arial Unicode MS" w:hAnsiTheme="minorHAnsi" w:cstheme="minorHAnsi"/>
                <w:b/>
                <w:bCs/>
                <w:i/>
                <w:iCs/>
                <w:spacing w:val="-4"/>
                <w:position w:val="-2"/>
                <w:sz w:val="22"/>
                <w:szCs w:val="22"/>
                <w:lang w:val="en-US"/>
              </w:rPr>
              <w:t xml:space="preserve">[insert brief scope of work] </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number of the Invitation for Bids is : ………. [</w:t>
            </w:r>
            <w:r w:rsidRPr="00D17D10">
              <w:rPr>
                <w:rFonts w:asciiTheme="minorHAnsi" w:eastAsia="Arial Unicode MS" w:hAnsiTheme="minorHAnsi" w:cstheme="minorHAnsi"/>
                <w:b/>
                <w:bCs/>
                <w:i/>
                <w:iCs/>
                <w:spacing w:val="-4"/>
                <w:position w:val="-2"/>
                <w:sz w:val="22"/>
                <w:szCs w:val="22"/>
                <w:lang w:val="en-US"/>
              </w:rPr>
              <w:t xml:space="preserve">insert </w:t>
            </w:r>
            <w:r w:rsidR="00185A99">
              <w:rPr>
                <w:rFonts w:asciiTheme="minorHAnsi" w:eastAsia="Arial Unicode MS" w:hAnsiTheme="minorHAnsi" w:cstheme="minorHAnsi"/>
                <w:b/>
                <w:bCs/>
                <w:i/>
                <w:iCs/>
                <w:spacing w:val="-4"/>
                <w:position w:val="-2"/>
                <w:sz w:val="22"/>
                <w:szCs w:val="22"/>
                <w:lang w:val="en-US"/>
              </w:rPr>
              <w:t>IFQ</w:t>
            </w:r>
            <w:r w:rsidRPr="00D17D10">
              <w:rPr>
                <w:rFonts w:asciiTheme="minorHAnsi" w:eastAsia="Arial Unicode MS" w:hAnsiTheme="minorHAnsi" w:cstheme="minorHAnsi"/>
                <w:b/>
                <w:bCs/>
                <w:i/>
                <w:iCs/>
                <w:spacing w:val="-4"/>
                <w:position w:val="-2"/>
                <w:sz w:val="22"/>
                <w:szCs w:val="22"/>
                <w:lang w:val="en-US"/>
              </w:rPr>
              <w:t xml:space="preserve"> Number</w:t>
            </w:r>
            <w:r w:rsidRPr="00D17D10">
              <w:rPr>
                <w:rFonts w:asciiTheme="minorHAnsi" w:eastAsia="Arial Unicode MS" w:hAnsiTheme="minorHAnsi" w:cstheme="minorHAnsi"/>
                <w:spacing w:val="-4"/>
                <w:position w:val="-2"/>
                <w:sz w:val="22"/>
                <w:szCs w:val="22"/>
                <w:lang w:val="en-US"/>
              </w:rPr>
              <w:t>]</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Employer is: ………[</w:t>
            </w:r>
            <w:r w:rsidRPr="00D17D10">
              <w:rPr>
                <w:rFonts w:asciiTheme="minorHAnsi" w:eastAsia="Arial Unicode MS" w:hAnsiTheme="minorHAnsi" w:cstheme="minorHAnsi"/>
                <w:b/>
                <w:bCs/>
                <w:i/>
                <w:iCs/>
                <w:spacing w:val="-4"/>
                <w:position w:val="-2"/>
                <w:sz w:val="22"/>
                <w:szCs w:val="22"/>
                <w:lang w:val="en-US"/>
              </w:rPr>
              <w:t>insert the name of Employer</w:t>
            </w:r>
            <w:r w:rsidRPr="00D17D10">
              <w:rPr>
                <w:rFonts w:asciiTheme="minorHAnsi" w:eastAsia="Arial Unicode MS" w:hAnsiTheme="minorHAnsi" w:cstheme="minorHAnsi"/>
                <w:spacing w:val="-4"/>
                <w:position w:val="-2"/>
                <w:sz w:val="22"/>
                <w:szCs w:val="22"/>
                <w:lang w:val="en-US"/>
              </w:rPr>
              <w:t>]</w:t>
            </w:r>
          </w:p>
          <w:p w:rsidR="00AA408F" w:rsidRPr="00D17D10" w:rsidRDefault="002D4F9F" w:rsidP="00964D54">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 [</w:t>
            </w:r>
            <w:r w:rsidR="00AA408F" w:rsidRPr="00D17D10">
              <w:rPr>
                <w:rFonts w:asciiTheme="minorHAnsi" w:eastAsia="Arial Unicode MS" w:hAnsiTheme="minorHAnsi" w:cstheme="minorHAnsi"/>
                <w:b/>
                <w:bCs/>
                <w:i/>
                <w:iCs/>
                <w:spacing w:val="-3"/>
                <w:position w:val="-2"/>
                <w:sz w:val="22"/>
                <w:szCs w:val="22"/>
                <w:lang w:val="en-US"/>
              </w:rPr>
              <w:t>insert the name of the project, if any</w:t>
            </w:r>
            <w:r w:rsidR="00AA408F" w:rsidRPr="00D17D10">
              <w:rPr>
                <w:rFonts w:asciiTheme="minorHAnsi" w:eastAsia="Arial Unicode MS" w:hAnsiTheme="minorHAnsi" w:cstheme="minorHAnsi"/>
                <w:spacing w:val="-3"/>
                <w:position w:val="-2"/>
                <w:sz w:val="22"/>
                <w:szCs w:val="22"/>
                <w:lang w:val="en-US"/>
              </w:rPr>
              <w:t xml:space="preserve">] </w:t>
            </w: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"A" class commercial bank with a </w:t>
            </w:r>
            <w:r w:rsidRPr="00D17D10">
              <w:rPr>
                <w:rFonts w:asciiTheme="minorHAnsi" w:eastAsia="Arial Unicode MS" w:hAnsiTheme="minorHAnsi" w:cstheme="minorHAnsi"/>
                <w:spacing w:val="-4"/>
                <w:sz w:val="22"/>
                <w:szCs w:val="22"/>
                <w:lang w:val="en-US"/>
              </w:rPr>
              <w:t xml:space="preserve">minimum of </w:t>
            </w:r>
            <w:r w:rsidRPr="00D17D10">
              <w:rPr>
                <w:rFonts w:asciiTheme="minorHAnsi" w:hAnsiTheme="minorHAnsi" w:cstheme="minorHAnsi"/>
                <w:b/>
                <w:i/>
                <w:sz w:val="22"/>
                <w:szCs w:val="22"/>
                <w:lang w:val="en-US"/>
              </w:rPr>
              <w:t>[insert amount (2</w:t>
            </w:r>
            <w:r w:rsidR="00CA3941" w:rsidRPr="00D17D10">
              <w:rPr>
                <w:rFonts w:asciiTheme="minorHAnsi" w:hAnsiTheme="minorHAnsi" w:cstheme="minorHAnsi"/>
                <w:b/>
                <w:i/>
                <w:sz w:val="22"/>
                <w:szCs w:val="22"/>
                <w:lang w:val="en-US"/>
              </w:rPr>
              <w:t>%</w:t>
            </w:r>
            <w:r w:rsidRPr="00D17D10">
              <w:rPr>
                <w:rFonts w:asciiTheme="minorHAnsi" w:hAnsiTheme="minorHAnsi" w:cstheme="minorHAnsi"/>
                <w:b/>
                <w:i/>
                <w:sz w:val="22"/>
                <w:szCs w:val="22"/>
                <w:lang w:val="en-US"/>
              </w:rPr>
              <w:t xml:space="preserve"> to 3 % of estimated amount)]</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2A0656" w:rsidRPr="00D17D10">
              <w:rPr>
                <w:rFonts w:asciiTheme="minorHAnsi" w:eastAsia="Arial Unicode MS" w:hAnsiTheme="minorHAnsi" w:cstheme="minorHAnsi"/>
                <w:spacing w:val="-3"/>
                <w:sz w:val="22"/>
                <w:szCs w:val="22"/>
                <w:lang w:val="en-US"/>
              </w:rPr>
              <w:t>.....................</w:t>
            </w:r>
            <w:r w:rsidR="003E3F48" w:rsidRPr="00D17D10">
              <w:rPr>
                <w:rFonts w:asciiTheme="minorHAnsi" w:eastAsia="Arial Unicode MS" w:hAnsiTheme="minorHAnsi" w:cstheme="minorHAnsi"/>
                <w:spacing w:val="-3"/>
                <w:sz w:val="22"/>
                <w:szCs w:val="22"/>
                <w:lang w:val="en-US"/>
              </w:rPr>
              <w:t>.</w:t>
            </w:r>
            <w:r w:rsidR="002A0656"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5"/>
                <w:sz w:val="22"/>
                <w:szCs w:val="22"/>
                <w:lang w:val="en-US"/>
              </w:rPr>
              <w:t xml:space="preserve">Bank Name: </w:t>
            </w:r>
            <w:r w:rsidR="002A0656" w:rsidRPr="00D17D10">
              <w:rPr>
                <w:rFonts w:asciiTheme="minorHAnsi" w:eastAsia="Arial Unicode MS" w:hAnsiTheme="minorHAnsi" w:cstheme="minorHAnsi"/>
                <w:spacing w:val="-5"/>
                <w:sz w:val="22"/>
                <w:szCs w:val="22"/>
                <w:lang w:val="en-US"/>
              </w:rPr>
              <w:t>.........................................</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2A0656" w:rsidRPr="00D17D10">
              <w:rPr>
                <w:rFonts w:asciiTheme="minorHAnsi" w:eastAsia="Arial Unicode MS" w:hAnsiTheme="minorHAnsi" w:cstheme="minorHAnsi"/>
                <w:spacing w:val="-5"/>
                <w:sz w:val="22"/>
                <w:szCs w:val="22"/>
                <w:lang w:val="en-US"/>
              </w:rPr>
              <w:t>...............................</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Bidders [</w:t>
            </w:r>
            <w:r w:rsidRPr="00D17D10">
              <w:rPr>
                <w:rFonts w:asciiTheme="minorHAnsi" w:eastAsia="Arial Unicode MS" w:hAnsiTheme="minorHAnsi" w:cstheme="minorHAnsi"/>
                <w:b/>
                <w:bCs/>
                <w:i/>
                <w:iCs/>
                <w:spacing w:val="-3"/>
                <w:sz w:val="22"/>
                <w:szCs w:val="22"/>
                <w:lang w:val="en-US"/>
              </w:rPr>
              <w:t>insert “shall” or “shall not”</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4254D7" w:rsidRPr="00D17D10"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b/>
                <w:bCs/>
                <w:i/>
                <w:iCs/>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 </w:t>
            </w:r>
            <w:r w:rsidRPr="00D17D10">
              <w:rPr>
                <w:rFonts w:asciiTheme="minorHAnsi" w:eastAsia="Arial Unicode MS" w:hAnsiTheme="minorHAnsi" w:cstheme="minorHAnsi"/>
                <w:b/>
                <w:bCs/>
                <w:i/>
                <w:iCs/>
                <w:spacing w:val="-4"/>
                <w:sz w:val="22"/>
                <w:szCs w:val="22"/>
                <w:lang w:val="en-US"/>
              </w:rPr>
              <w:t>[Insert electronic submission procedure</w:t>
            </w:r>
            <w:r w:rsidR="00CC3A78" w:rsidRPr="00D17D10">
              <w:rPr>
                <w:rFonts w:asciiTheme="minorHAnsi" w:eastAsia="Arial Unicode MS" w:hAnsiTheme="minorHAnsi" w:cstheme="minorHAnsi"/>
                <w:b/>
                <w:bCs/>
                <w:i/>
                <w:iCs/>
                <w:spacing w:val="-4"/>
                <w:sz w:val="22"/>
                <w:szCs w:val="22"/>
                <w:lang w:val="en-US"/>
              </w:rPr>
              <w:t xml:space="preserve"> if electronic submission is allowed</w:t>
            </w:r>
            <w:r w:rsidRPr="00D17D10">
              <w:rPr>
                <w:rFonts w:asciiTheme="minorHAnsi" w:eastAsia="Arial Unicode MS" w:hAnsiTheme="minorHAnsi" w:cstheme="minorHAnsi"/>
                <w:b/>
                <w:bCs/>
                <w:i/>
                <w:iCs/>
                <w:spacing w:val="-4"/>
                <w:sz w:val="22"/>
                <w:szCs w:val="22"/>
                <w:lang w:val="en-US"/>
              </w:rPr>
              <w:t>]</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0"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Pr="00D17D10"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No.</w:t>
                  </w: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28033A">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28033A">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28033A">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28033A">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28033A">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28033A">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28033A">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28033A">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28033A">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28033A">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28033A">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28033A">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28033A">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28033A">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28033A">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28033A">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28033A">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ind w:firstLine="360"/>
              <w:rPr>
                <w:rFonts w:asciiTheme="minorHAnsi" w:hAnsiTheme="minorHAnsi" w:cstheme="minorHAnsi"/>
                <w:i/>
                <w:sz w:val="22"/>
                <w:szCs w:val="22"/>
              </w:rPr>
            </w:pPr>
            <w:r w:rsidRPr="00D17D10">
              <w:rPr>
                <w:rFonts w:asciiTheme="minorHAnsi" w:hAnsiTheme="minorHAnsi" w:cstheme="minorHAnsi"/>
                <w:i/>
                <w:sz w:val="22"/>
                <w:szCs w:val="22"/>
              </w:rPr>
              <w:t xml:space="preserve">Note:  The documents specified as “Mandatory” should be included in e-submission. </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F53A11" w:rsidRPr="00D17D10">
              <w:rPr>
                <w:rFonts w:asciiTheme="minorHAnsi" w:eastAsia="Arial Unicode MS" w:hAnsiTheme="minorHAnsi" w:cstheme="minorHAnsi"/>
                <w:spacing w:val="-4"/>
                <w:sz w:val="22"/>
                <w:szCs w:val="22"/>
                <w:lang w:val="en-US"/>
              </w:rPr>
              <w:t>Time : ...................................</w:t>
            </w:r>
          </w:p>
          <w:p w:rsidR="00397598" w:rsidRPr="00D17D10" w:rsidRDefault="00C5200F" w:rsidP="0028033A">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397598" w:rsidRPr="00D17D10" w:rsidRDefault="00397598" w:rsidP="0028033A">
            <w:pPr>
              <w:pStyle w:val="ListParagraph"/>
              <w:widowControl w:val="0"/>
              <w:autoSpaceDE w:val="0"/>
              <w:autoSpaceDN w:val="0"/>
              <w:adjustRightInd w:val="0"/>
              <w:spacing w:after="0" w:line="240" w:lineRule="auto"/>
              <w:ind w:left="450" w:right="14"/>
              <w:jc w:val="both"/>
              <w:rPr>
                <w:rFonts w:asciiTheme="minorHAnsi" w:hAnsiTheme="minorHAnsi" w:cstheme="minorHAnsi"/>
                <w:szCs w:val="22"/>
              </w:rPr>
            </w:pP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The Employer shall conduct the opening of bid at the address on the same date and time as specified in bidding document in the presence of Bidders’ representatives who choose to attend.</w:t>
            </w:r>
          </w:p>
        </w:tc>
      </w:tr>
    </w:tbl>
    <w:p w:rsidR="00CC3ED1" w:rsidRPr="00D17D10" w:rsidRDefault="00CC3ED1" w:rsidP="00964D54">
      <w:pPr>
        <w:spacing w:line="276" w:lineRule="auto"/>
        <w:rPr>
          <w:rFonts w:asciiTheme="minorHAnsi" w:hAnsiTheme="minorHAnsi" w:cstheme="minorHAnsi"/>
          <w:lang w:val="en-US"/>
        </w:rPr>
      </w:pPr>
    </w:p>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Pr="00D17D10">
        <w:rPr>
          <w:rFonts w:asciiTheme="minorHAnsi" w:hAnsiTheme="minorHAnsi" w:cstheme="minorHAnsi"/>
          <w:b/>
          <w:bCs/>
          <w:i/>
          <w:iCs/>
          <w:sz w:val="22"/>
          <w:szCs w:val="22"/>
          <w:lang w:val="en-US"/>
        </w:rPr>
        <w:t>[insert fiscal year]</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spacing w:val="-5"/>
          <w:szCs w:val="20"/>
          <w:lang w:val="en-US"/>
        </w:rPr>
      </w:pPr>
      <w:r w:rsidRPr="00D17D10">
        <w:rPr>
          <w:rFonts w:asciiTheme="minorHAnsi" w:eastAsia="Arial Unicode MS" w:hAnsiTheme="minorHAnsi" w:cstheme="minorHAnsi"/>
          <w:b/>
          <w:bCs/>
          <w:spacing w:val="-3"/>
          <w:szCs w:val="20"/>
          <w:lang w:val="en-US"/>
        </w:rPr>
        <w:t xml:space="preserve">Bank’s Name, and Address of Issuing Branch or Office </w:t>
      </w:r>
      <w:r w:rsidRPr="00D17D10">
        <w:rPr>
          <w:rFonts w:asciiTheme="minorHAnsi" w:eastAsia="Arial Unicode MS" w:hAnsiTheme="minorHAnsi" w:cstheme="minorHAnsi"/>
          <w:b/>
          <w:bCs/>
          <w:spacing w:val="-3"/>
          <w:szCs w:val="20"/>
          <w:lang w:val="en-US"/>
        </w:rPr>
        <w:br/>
      </w:r>
      <w:r w:rsidRPr="00D17D10">
        <w:rPr>
          <w:rFonts w:asciiTheme="minorHAnsi" w:eastAsia="Arial Unicode MS" w:hAnsiTheme="minorHAnsi" w:cstheme="minorHAnsi"/>
          <w:b/>
          <w:bCs/>
          <w:spacing w:val="-5"/>
          <w:szCs w:val="20"/>
          <w:lang w:val="en-US"/>
        </w:rPr>
        <w:t>(On Letter head of the 'A' class Commercial Bank)</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3"/>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EA0AEA" w:rsidRPr="00D17D10" w:rsidRDefault="00EA0AEA" w:rsidP="00964D54">
      <w:pPr>
        <w:pStyle w:val="Heading11"/>
        <w:rPr>
          <w:rFonts w:asciiTheme="minorHAnsi" w:hAnsiTheme="minorHAnsi" w:cstheme="minorHAnsi"/>
          <w:lang w:val="en-US"/>
        </w:rPr>
      </w:pP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xml:space="preserve">" means all expenditure properly incurred (or to be incurred) by the contractor, whether on or off the Site, including overheads and </w:t>
            </w:r>
            <w:r w:rsidRPr="00D17D10">
              <w:rPr>
                <w:rFonts w:asciiTheme="minorHAnsi" w:hAnsiTheme="minorHAnsi" w:cstheme="minorHAnsi"/>
                <w:sz w:val="22"/>
                <w:szCs w:val="22"/>
                <w:lang w:val="en-US"/>
              </w:rPr>
              <w:lastRenderedPageBreak/>
              <w:t>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means the sum stated in the Letter of Acceptance as 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1.6</w:t>
            </w:r>
            <w:r w:rsidRPr="00D17D10">
              <w:rPr>
                <w:rFonts w:asciiTheme="minorHAnsi" w:hAnsiTheme="minorHAnsi" w:cstheme="minorHAnsi"/>
                <w:b/>
                <w:sz w:val="22"/>
                <w:szCs w:val="22"/>
                <w:lang w:val="en-US"/>
              </w:rPr>
              <w:tab/>
              <w:t>Statutory 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performed. The contractor shall give all notices and pay all fees and other charges in respect of the Works.</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rebellion, terrorism, revolution, insurrection, military or usurped power, or </w:t>
            </w:r>
            <w:r w:rsidRPr="00D17D10">
              <w:rPr>
                <w:rFonts w:asciiTheme="minorHAnsi" w:hAnsiTheme="minorHAnsi" w:cstheme="minorHAnsi"/>
                <w:sz w:val="22"/>
                <w:szCs w:val="22"/>
                <w:lang w:val="en-US"/>
              </w:rPr>
              <w:lastRenderedPageBreak/>
              <w:t>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an application to the Employer for extension of time, stating the causes for delay, 7 days before the expiry of the Contract completion date.</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 receipt of an application from the contractor, the Employer shall consider all supporting details provided by the contractor and shall 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'A' class commercial Bank 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the other 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lastRenderedPageBreak/>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Pr="00D17D10" w:rsidRDefault="00E13919" w:rsidP="00964D54">
            <w:pPr>
              <w:ind w:left="408"/>
              <w:jc w:val="both"/>
              <w:rPr>
                <w:rFonts w:asciiTheme="minorHAnsi" w:hAnsiTheme="minorHAnsi" w:cstheme="minorHAnsi"/>
                <w:sz w:val="22"/>
                <w:szCs w:val="22"/>
                <w:lang w:val="en-US"/>
              </w:rPr>
            </w:pPr>
            <w:r w:rsidRPr="00D17D10">
              <w:rPr>
                <w:rFonts w:asciiTheme="minorHAnsi" w:hAnsiTheme="minorHAnsi" w:cstheme="minorHAnsi"/>
                <w:sz w:val="22"/>
                <w:szCs w:val="22"/>
              </w:rPr>
              <w:t>In such case, amount to complete the remaining works as per the Contract shall be recovered from the Contractor as Government dues.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p w:rsidR="00F95F88" w:rsidRPr="00D17D10" w:rsidRDefault="00F95F88" w:rsidP="00964D54">
            <w:pPr>
              <w:jc w:val="both"/>
              <w:rPr>
                <w:rFonts w:asciiTheme="minorHAnsi" w:hAnsiTheme="minorHAnsi" w:cstheme="minorHAnsi"/>
                <w:sz w:val="22"/>
                <w:szCs w:val="22"/>
                <w:lang w:val="en-US"/>
              </w:rPr>
            </w:pPr>
          </w:p>
          <w:p w:rsidR="00F95F88" w:rsidRPr="00D17D10" w:rsidRDefault="00F95F88" w:rsidP="00964D54">
            <w:pPr>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2.1 </w:t>
            </w:r>
          </w:p>
        </w:tc>
        <w:tc>
          <w:tcPr>
            <w:tcW w:w="8190" w:type="dxa"/>
            <w:tcMar>
              <w:right w:w="170" w:type="dxa"/>
            </w:tcMar>
          </w:tcPr>
          <w:p w:rsidR="00E22DC4" w:rsidRPr="00D17D10" w:rsidRDefault="00BB0315" w:rsidP="00964D54">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Pr="00D17D10">
              <w:rPr>
                <w:rFonts w:asciiTheme="minorHAnsi" w:hAnsiTheme="minorHAnsi" w:cstheme="minorHAnsi"/>
                <w:b/>
                <w:bCs/>
                <w:i/>
                <w:iCs/>
                <w:color w:val="auto"/>
                <w:sz w:val="22"/>
                <w:szCs w:val="22"/>
              </w:rPr>
              <w:t xml:space="preserve">……………….. [insert location(s) and date(s)] </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3.1</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45A08" w:rsidRPr="00D17D10">
              <w:rPr>
                <w:rFonts w:asciiTheme="minorHAnsi" w:hAnsiTheme="minorHAnsi" w:cstheme="minorHAnsi"/>
                <w:sz w:val="22"/>
                <w:szCs w:val="22"/>
                <w:lang w:val="en-US"/>
              </w:rPr>
              <w: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 xml:space="preserve">The Performance Security amount is: ………….. </w:t>
            </w:r>
            <w:r w:rsidRPr="00D17D10">
              <w:rPr>
                <w:rFonts w:asciiTheme="minorHAnsi" w:hAnsiTheme="minorHAnsi" w:cstheme="minorHAnsi"/>
                <w:b/>
                <w:bCs/>
                <w:i/>
                <w:iCs/>
                <w:color w:val="auto"/>
                <w:sz w:val="22"/>
                <w:szCs w:val="22"/>
                <w:lang w:bidi="ar-SA"/>
              </w:rPr>
              <w:t xml:space="preserve">[Insert required percent]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Pr="00D17D10">
              <w:rPr>
                <w:rFonts w:asciiTheme="minorHAnsi" w:hAnsiTheme="minorHAnsi" w:cstheme="minorHAnsi"/>
                <w:b/>
                <w:bCs/>
                <w:i/>
                <w:iCs/>
                <w:sz w:val="22"/>
                <w:szCs w:val="22"/>
                <w:lang w:val="en-US"/>
              </w:rPr>
              <w:t xml:space="preserve">……………….[insert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lastRenderedPageBreak/>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lastRenderedPageBreak/>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1734D3" w:rsidRPr="00D17D10" w:rsidRDefault="001734D3"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DE61DB" w:rsidRPr="00D17D10" w:rsidRDefault="00DE61DB"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1"/>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E88" w:rsidRDefault="007F7E88" w:rsidP="004B53E2">
      <w:r>
        <w:separator/>
      </w:r>
    </w:p>
  </w:endnote>
  <w:endnote w:type="continuationSeparator" w:id="1">
    <w:p w:rsidR="007F7E88" w:rsidRDefault="007F7E88"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E88" w:rsidRDefault="007F7E88" w:rsidP="004B53E2">
      <w:r>
        <w:separator/>
      </w:r>
    </w:p>
  </w:footnote>
  <w:footnote w:type="continuationSeparator" w:id="1">
    <w:p w:rsidR="007F7E88" w:rsidRDefault="007F7E88" w:rsidP="004B53E2">
      <w:r>
        <w:continuationSeparator/>
      </w:r>
    </w:p>
  </w:footnote>
  <w:footnote w:id="2">
    <w:p w:rsidR="00153463" w:rsidRPr="00326023" w:rsidRDefault="00153463" w:rsidP="004B53E2">
      <w:pPr>
        <w:widowControl w:val="0"/>
        <w:autoSpaceDE w:val="0"/>
        <w:autoSpaceDN w:val="0"/>
        <w:adjustRightInd w:val="0"/>
        <w:spacing w:before="10" w:line="230" w:lineRule="exact"/>
        <w:jc w:val="both"/>
        <w:rPr>
          <w:rFonts w:ascii="Times New Roman" w:eastAsia="Arial Unicode MS" w:hAnsi="Times New Roman"/>
          <w:spacing w:val="-1"/>
        </w:rPr>
      </w:pPr>
      <w:r w:rsidRPr="00884C88">
        <w:rPr>
          <w:rStyle w:val="FootnoteReference"/>
          <w:sz w:val="18"/>
          <w:szCs w:val="16"/>
        </w:rPr>
        <w:footnoteRef/>
      </w:r>
      <w:r w:rsidRPr="004259CB">
        <w:rPr>
          <w:rFonts w:ascii="Times New Roman" w:eastAsia="Arial Unicode MS" w:hAnsi="Times New Roman"/>
          <w:spacing w:val="-1"/>
        </w:rPr>
        <w:t>The time interval between last purchasing date and last submission date shall not be more than one day.</w:t>
      </w:r>
    </w:p>
  </w:footnote>
  <w:footnote w:id="3">
    <w:p w:rsidR="00153463" w:rsidRDefault="00153463"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63" w:rsidRPr="002A25FF" w:rsidRDefault="00153463" w:rsidP="007B74BC">
    <w:pPr>
      <w:pStyle w:val="Header"/>
      <w:pBdr>
        <w:bottom w:val="single" w:sz="4" w:space="1" w:color="D9D9D9"/>
      </w:pBdr>
      <w:rPr>
        <w:rFonts w:ascii="Monotype Corsiva" w:hAnsi="Monotype Corsiva"/>
        <w:b/>
        <w:sz w:val="18"/>
        <w:szCs w:val="18"/>
      </w:rPr>
    </w:pPr>
    <w:r w:rsidRPr="002A25FF">
      <w:rPr>
        <w:rFonts w:ascii="Monotype Corsiva" w:hAnsi="Monotype Corsiva"/>
        <w:sz w:val="18"/>
        <w:szCs w:val="18"/>
      </w:rPr>
      <w:fldChar w:fldCharType="begin"/>
    </w:r>
    <w:r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Pr="00202469">
      <w:rPr>
        <w:rFonts w:ascii="Monotype Corsiva" w:hAnsi="Monotype Corsiva"/>
        <w:b/>
        <w:noProof/>
        <w:sz w:val="18"/>
        <w:szCs w:val="18"/>
      </w:rPr>
      <w:t>118</w:t>
    </w:r>
    <w:r w:rsidRPr="002A25FF">
      <w:rPr>
        <w:rFonts w:ascii="Monotype Corsiva" w:hAnsi="Monotype Corsiva"/>
        <w:sz w:val="18"/>
        <w:szCs w:val="18"/>
      </w:rPr>
      <w:fldChar w:fldCharType="end"/>
    </w:r>
    <w:r w:rsidRPr="002A25FF">
      <w:rPr>
        <w:rFonts w:ascii="Monotype Corsiva" w:hAnsi="Monotype Corsiva"/>
        <w:b/>
        <w:sz w:val="18"/>
        <w:szCs w:val="18"/>
      </w:rPr>
      <w:t xml:space="preserve"> | </w:t>
    </w:r>
    <w:r w:rsidRPr="002A25FF">
      <w:rPr>
        <w:rFonts w:ascii="Monotype Corsiva" w:hAnsi="Monotype Corsiva"/>
        <w:color w:val="7F7F7F"/>
        <w:sz w:val="18"/>
        <w:szCs w:val="18"/>
      </w:rPr>
      <w:t>Standard Bidding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C78FD"/>
    <w:rsid w:val="00001517"/>
    <w:rsid w:val="00002CE0"/>
    <w:rsid w:val="00004B14"/>
    <w:rsid w:val="00006728"/>
    <w:rsid w:val="00007895"/>
    <w:rsid w:val="000106EC"/>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46F2"/>
    <w:rsid w:val="001353D1"/>
    <w:rsid w:val="001358B2"/>
    <w:rsid w:val="00135E4B"/>
    <w:rsid w:val="00136796"/>
    <w:rsid w:val="00136C72"/>
    <w:rsid w:val="00137D72"/>
    <w:rsid w:val="00145A08"/>
    <w:rsid w:val="00146F6C"/>
    <w:rsid w:val="00147A8B"/>
    <w:rsid w:val="00147D37"/>
    <w:rsid w:val="0015018E"/>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D4C"/>
    <w:rsid w:val="001A4736"/>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8033A"/>
    <w:rsid w:val="00281725"/>
    <w:rsid w:val="0028349F"/>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36B5"/>
    <w:rsid w:val="002C6746"/>
    <w:rsid w:val="002D2A8B"/>
    <w:rsid w:val="002D2BF7"/>
    <w:rsid w:val="002D4734"/>
    <w:rsid w:val="002D48E7"/>
    <w:rsid w:val="002D4F9F"/>
    <w:rsid w:val="002D502F"/>
    <w:rsid w:val="002D6346"/>
    <w:rsid w:val="002E14CD"/>
    <w:rsid w:val="002E2C4E"/>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5FA"/>
    <w:rsid w:val="003479F0"/>
    <w:rsid w:val="00350BF8"/>
    <w:rsid w:val="0035473A"/>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F9C"/>
    <w:rsid w:val="00421329"/>
    <w:rsid w:val="004236C8"/>
    <w:rsid w:val="004238A4"/>
    <w:rsid w:val="004246C1"/>
    <w:rsid w:val="004254D7"/>
    <w:rsid w:val="00426F70"/>
    <w:rsid w:val="00426F74"/>
    <w:rsid w:val="00430FA9"/>
    <w:rsid w:val="00432A0E"/>
    <w:rsid w:val="0043561E"/>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5CD3"/>
    <w:rsid w:val="00490934"/>
    <w:rsid w:val="00490F64"/>
    <w:rsid w:val="00490F65"/>
    <w:rsid w:val="00493459"/>
    <w:rsid w:val="004945A5"/>
    <w:rsid w:val="00495D10"/>
    <w:rsid w:val="00495E7D"/>
    <w:rsid w:val="00496F58"/>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4FBB"/>
    <w:rsid w:val="00510361"/>
    <w:rsid w:val="00510F3C"/>
    <w:rsid w:val="005136D8"/>
    <w:rsid w:val="00513F02"/>
    <w:rsid w:val="005178C1"/>
    <w:rsid w:val="00517CFB"/>
    <w:rsid w:val="005302D2"/>
    <w:rsid w:val="0053084B"/>
    <w:rsid w:val="00536936"/>
    <w:rsid w:val="00537E81"/>
    <w:rsid w:val="00540273"/>
    <w:rsid w:val="005402FA"/>
    <w:rsid w:val="00542BF9"/>
    <w:rsid w:val="00544A3C"/>
    <w:rsid w:val="00544B2A"/>
    <w:rsid w:val="00546E65"/>
    <w:rsid w:val="005545E7"/>
    <w:rsid w:val="005552DB"/>
    <w:rsid w:val="0055710A"/>
    <w:rsid w:val="00560258"/>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21F"/>
    <w:rsid w:val="00847D25"/>
    <w:rsid w:val="00850505"/>
    <w:rsid w:val="00850819"/>
    <w:rsid w:val="008515EC"/>
    <w:rsid w:val="00851B92"/>
    <w:rsid w:val="0085366C"/>
    <w:rsid w:val="00853FD7"/>
    <w:rsid w:val="00855A45"/>
    <w:rsid w:val="008573E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9074C2"/>
    <w:rsid w:val="009077F0"/>
    <w:rsid w:val="0091028F"/>
    <w:rsid w:val="009117C7"/>
    <w:rsid w:val="0091437F"/>
    <w:rsid w:val="0091755B"/>
    <w:rsid w:val="00920570"/>
    <w:rsid w:val="00923C48"/>
    <w:rsid w:val="009247EA"/>
    <w:rsid w:val="009255FE"/>
    <w:rsid w:val="00925D0E"/>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9A9"/>
    <w:rsid w:val="00973BD4"/>
    <w:rsid w:val="00975769"/>
    <w:rsid w:val="00975E7A"/>
    <w:rsid w:val="00982A0C"/>
    <w:rsid w:val="009864D5"/>
    <w:rsid w:val="0099558E"/>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84D"/>
    <w:rsid w:val="00A349A9"/>
    <w:rsid w:val="00A375EC"/>
    <w:rsid w:val="00A46158"/>
    <w:rsid w:val="00A4653C"/>
    <w:rsid w:val="00A50B3A"/>
    <w:rsid w:val="00A51FE7"/>
    <w:rsid w:val="00A53845"/>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6088"/>
    <w:rsid w:val="00AD7DED"/>
    <w:rsid w:val="00AE0225"/>
    <w:rsid w:val="00AE03B6"/>
    <w:rsid w:val="00AE08D3"/>
    <w:rsid w:val="00AE0EC8"/>
    <w:rsid w:val="00AE1BDB"/>
    <w:rsid w:val="00AE23B6"/>
    <w:rsid w:val="00AE6212"/>
    <w:rsid w:val="00AF0EC2"/>
    <w:rsid w:val="00AF207C"/>
    <w:rsid w:val="00AF2D90"/>
    <w:rsid w:val="00AF70D3"/>
    <w:rsid w:val="00B02ADA"/>
    <w:rsid w:val="00B0717F"/>
    <w:rsid w:val="00B156F0"/>
    <w:rsid w:val="00B15FD1"/>
    <w:rsid w:val="00B16437"/>
    <w:rsid w:val="00B2048C"/>
    <w:rsid w:val="00B2213E"/>
    <w:rsid w:val="00B246C0"/>
    <w:rsid w:val="00B256B2"/>
    <w:rsid w:val="00B26A8D"/>
    <w:rsid w:val="00B271D8"/>
    <w:rsid w:val="00B31203"/>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3992"/>
    <w:rsid w:val="00D947FC"/>
    <w:rsid w:val="00D97B05"/>
    <w:rsid w:val="00DA1B41"/>
    <w:rsid w:val="00DA38AF"/>
    <w:rsid w:val="00DA4253"/>
    <w:rsid w:val="00DA43A1"/>
    <w:rsid w:val="00DA77E0"/>
    <w:rsid w:val="00DB07C1"/>
    <w:rsid w:val="00DB0A5F"/>
    <w:rsid w:val="00DB459B"/>
    <w:rsid w:val="00DB56FA"/>
    <w:rsid w:val="00DB7046"/>
    <w:rsid w:val="00DB7865"/>
    <w:rsid w:val="00DC0694"/>
    <w:rsid w:val="00DD3B77"/>
    <w:rsid w:val="00DD5B44"/>
    <w:rsid w:val="00DD7D9A"/>
    <w:rsid w:val="00DE0DA6"/>
    <w:rsid w:val="00DE1C8B"/>
    <w:rsid w:val="00DE4DBD"/>
    <w:rsid w:val="00DE57F8"/>
    <w:rsid w:val="00DE61DB"/>
    <w:rsid w:val="00DF02C8"/>
    <w:rsid w:val="00DF1AF5"/>
    <w:rsid w:val="00DF2187"/>
    <w:rsid w:val="00DF534D"/>
    <w:rsid w:val="00DF5FE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bolpatra.gov.np/egp" TargetMode="External"/><Relationship Id="rId4" Type="http://schemas.openxmlformats.org/officeDocument/2006/relationships/settings" Target="settings.xml"/><Relationship Id="rId9" Type="http://schemas.openxmlformats.org/officeDocument/2006/relationships/hyperlink" Target="http://www.bo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37</Pages>
  <Words>12682</Words>
  <Characters>72289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NEC</cp:lastModifiedBy>
  <cp:revision>9</cp:revision>
  <cp:lastPrinted>2017-08-31T06:06:00Z</cp:lastPrinted>
  <dcterms:created xsi:type="dcterms:W3CDTF">2017-08-31T05:42:00Z</dcterms:created>
  <dcterms:modified xsi:type="dcterms:W3CDTF">2017-08-31T06:08:00Z</dcterms:modified>
</cp:coreProperties>
</file>