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507F0B" w14:textId="62F82843" w:rsidR="00624BA4" w:rsidRPr="00624BA4" w:rsidRDefault="00624BA4" w:rsidP="001812A0">
      <w:pPr>
        <w:jc w:val="center"/>
        <w:rPr>
          <w:rFonts w:ascii="Calibri" w:eastAsia="Times New Roman" w:hAnsi="Calibri"/>
          <w:color w:val="EE0000"/>
          <w:kern w:val="0"/>
          <w:lang w:bidi="ne-NP"/>
          <w14:ligatures w14:val="none"/>
        </w:rPr>
      </w:pPr>
      <w:r w:rsidRPr="00624BA4">
        <w:rPr>
          <w:rFonts w:ascii="Calibri" w:eastAsia="Times New Roman" w:hAnsi="Calibri" w:hint="cs"/>
          <w:color w:val="EE0000"/>
          <w:kern w:val="0"/>
          <w:cs/>
          <w:lang w:bidi="ne-NP"/>
          <w14:ligatures w14:val="none"/>
        </w:rPr>
        <w:t>नेपाल सरकार</w:t>
      </w:r>
      <w:r w:rsidRPr="00624BA4">
        <w:rPr>
          <w:rFonts w:ascii="Calibri" w:eastAsia="Times New Roman" w:hAnsi="Calibri"/>
          <w:color w:val="EE0000"/>
          <w:kern w:val="0"/>
          <w:cs/>
          <w:lang w:bidi="ne-NP"/>
          <w14:ligatures w14:val="none"/>
        </w:rPr>
        <w:br/>
      </w:r>
      <w:r w:rsidRPr="00624BA4">
        <w:rPr>
          <w:rFonts w:ascii="Calibri" w:eastAsia="Times New Roman" w:hAnsi="Calibri" w:hint="cs"/>
          <w:color w:val="EE0000"/>
          <w:kern w:val="0"/>
          <w:cs/>
          <w:lang w:bidi="ne-NP"/>
          <w14:ligatures w14:val="none"/>
        </w:rPr>
        <w:t>प्रधानमन्त्री तथा मन्त्रिपरिषद्को कार्यालय</w:t>
      </w:r>
    </w:p>
    <w:p w14:paraId="22DBC189" w14:textId="2A21EB66" w:rsidR="001812A0" w:rsidRDefault="00624BA4" w:rsidP="001812A0">
      <w:pPr>
        <w:jc w:val="center"/>
        <w:rPr>
          <w:rFonts w:ascii="Calibri" w:eastAsia="Times New Roman" w:hAnsi="Calibri"/>
          <w:b/>
          <w:bCs/>
          <w:color w:val="000000"/>
          <w:kern w:val="0"/>
          <w:sz w:val="28"/>
          <w:szCs w:val="28"/>
          <w:lang w:bidi="ne-NP"/>
          <w14:ligatures w14:val="none"/>
        </w:rPr>
      </w:pPr>
      <w:r w:rsidRPr="00624BA4">
        <w:rPr>
          <w:rFonts w:ascii="Calibri" w:eastAsia="Times New Roman" w:hAnsi="Calibri" w:hint="cs"/>
          <w:b/>
          <w:bCs/>
          <w:color w:val="EE0000"/>
          <w:kern w:val="0"/>
          <w:sz w:val="34"/>
          <w:szCs w:val="34"/>
          <w:cs/>
          <w:lang w:bidi="ne-NP"/>
          <w14:ligatures w14:val="none"/>
        </w:rPr>
        <w:t>राष्ट्रिय तथ्याङ्क कार्यालय</w:t>
      </w:r>
      <w:r w:rsidRPr="00624BA4">
        <w:rPr>
          <w:rFonts w:ascii="Calibri" w:eastAsia="Times New Roman" w:hAnsi="Calibri"/>
          <w:b/>
          <w:bCs/>
          <w:color w:val="EE0000"/>
          <w:kern w:val="0"/>
          <w:sz w:val="34"/>
          <w:szCs w:val="34"/>
          <w:cs/>
          <w:lang w:bidi="ne-NP"/>
          <w14:ligatures w14:val="none"/>
        </w:rPr>
        <w:br/>
      </w:r>
      <w:r w:rsidRPr="00624BA4">
        <w:rPr>
          <w:rFonts w:ascii="Calibri" w:eastAsia="Times New Roman" w:hAnsi="Calibri" w:hint="cs"/>
          <w:b/>
          <w:bCs/>
          <w:color w:val="EE0000"/>
          <w:kern w:val="0"/>
          <w:cs/>
          <w:lang w:bidi="ne-NP"/>
          <w14:ligatures w14:val="none"/>
        </w:rPr>
        <w:t>मूल्य तथ्याङ्क शाखा</w:t>
      </w:r>
      <w:r>
        <w:rPr>
          <w:rFonts w:ascii="Calibri" w:eastAsia="Times New Roman" w:hAnsi="Calibri"/>
          <w:b/>
          <w:bCs/>
          <w:color w:val="000000"/>
          <w:kern w:val="0"/>
          <w:sz w:val="34"/>
          <w:szCs w:val="34"/>
          <w:cs/>
          <w:lang w:bidi="ne-NP"/>
          <w14:ligatures w14:val="none"/>
        </w:rPr>
        <w:br/>
      </w:r>
    </w:p>
    <w:p w14:paraId="7D01675E" w14:textId="77777777" w:rsidR="00624BA4" w:rsidRDefault="00624BA4" w:rsidP="00624BA4">
      <w:pPr>
        <w:rPr>
          <w:noProof/>
        </w:rPr>
      </w:pPr>
    </w:p>
    <w:p w14:paraId="39E77D75" w14:textId="77777777" w:rsidR="00624BA4" w:rsidRDefault="00624BA4" w:rsidP="00624BA4">
      <w:pPr>
        <w:rPr>
          <w:noProof/>
        </w:rPr>
      </w:pPr>
    </w:p>
    <w:p w14:paraId="00C4B22C" w14:textId="77777777" w:rsidR="00624BA4" w:rsidRDefault="00624BA4" w:rsidP="00624BA4">
      <w:pPr>
        <w:rPr>
          <w:noProof/>
        </w:rPr>
      </w:pPr>
    </w:p>
    <w:p w14:paraId="14F3EC19" w14:textId="77777777" w:rsidR="00624BA4" w:rsidRDefault="00624BA4" w:rsidP="00624BA4">
      <w:pPr>
        <w:jc w:val="center"/>
        <w:rPr>
          <w:noProof/>
        </w:rPr>
      </w:pPr>
      <w:r>
        <w:rPr>
          <w:rFonts w:hint="cs"/>
          <w:noProof/>
          <w:cs/>
        </w:rPr>
        <w:t>त्रैमासिक सूचकाङ्क प्रकाशन</w:t>
      </w:r>
    </w:p>
    <w:p w14:paraId="6CB531B4" w14:textId="6E0F74F7" w:rsidR="00624BA4" w:rsidRPr="00624BA4" w:rsidRDefault="00624BA4" w:rsidP="00624BA4">
      <w:pPr>
        <w:jc w:val="center"/>
        <w:rPr>
          <w:b/>
          <w:bCs/>
          <w:noProof/>
          <w:color w:val="4472C4" w:themeColor="accent1"/>
          <w:sz w:val="38"/>
          <w:szCs w:val="36"/>
        </w:rPr>
      </w:pPr>
      <w:r w:rsidRPr="00624BA4">
        <w:rPr>
          <w:rFonts w:hint="cs"/>
          <w:b/>
          <w:bCs/>
          <w:noProof/>
          <w:color w:val="4472C4" w:themeColor="accent1"/>
          <w:sz w:val="38"/>
          <w:szCs w:val="36"/>
          <w:cs/>
        </w:rPr>
        <w:t xml:space="preserve">त्रैमासिक </w:t>
      </w:r>
      <w:r w:rsidRPr="00624BA4">
        <w:rPr>
          <w:rFonts w:hint="cs"/>
          <w:b/>
          <w:bCs/>
          <w:noProof/>
          <w:color w:val="4472C4" w:themeColor="accent1"/>
          <w:sz w:val="38"/>
          <w:szCs w:val="36"/>
          <w:cs/>
          <w:lang w:bidi="ne-NP"/>
        </w:rPr>
        <w:t xml:space="preserve">निर्माण क्षेत्रको लागत मूल्य </w:t>
      </w:r>
      <w:r w:rsidRPr="00624BA4">
        <w:rPr>
          <w:rFonts w:hint="cs"/>
          <w:b/>
          <w:bCs/>
          <w:noProof/>
          <w:color w:val="4472C4" w:themeColor="accent1"/>
          <w:sz w:val="38"/>
          <w:szCs w:val="36"/>
          <w:cs/>
        </w:rPr>
        <w:t>सूचकाङ्क</w:t>
      </w:r>
    </w:p>
    <w:p w14:paraId="7E40BBB0" w14:textId="27D7AA27" w:rsidR="00624BA4" w:rsidRPr="00AB2162" w:rsidRDefault="00624BA4" w:rsidP="00624BA4">
      <w:pPr>
        <w:jc w:val="center"/>
        <w:rPr>
          <w:b/>
          <w:bCs/>
          <w:noProof/>
          <w:sz w:val="26"/>
          <w:szCs w:val="24"/>
        </w:rPr>
      </w:pPr>
      <w:r w:rsidRPr="00AB2162">
        <w:rPr>
          <w:b/>
          <w:bCs/>
          <w:noProof/>
          <w:sz w:val="26"/>
          <w:szCs w:val="24"/>
        </w:rPr>
        <w:t xml:space="preserve">(Quarterly </w:t>
      </w:r>
      <w:r>
        <w:rPr>
          <w:b/>
          <w:bCs/>
          <w:noProof/>
          <w:sz w:val="26"/>
          <w:szCs w:val="24"/>
          <w:lang w:bidi="ne-NP"/>
        </w:rPr>
        <w:t>Input Price Index of Construction Secctor)</w:t>
      </w:r>
    </w:p>
    <w:p w14:paraId="146D49BF" w14:textId="77777777" w:rsidR="00624BA4" w:rsidRDefault="00624BA4" w:rsidP="00624BA4">
      <w:pPr>
        <w:jc w:val="center"/>
        <w:rPr>
          <w:noProof/>
          <w:sz w:val="26"/>
          <w:szCs w:val="24"/>
        </w:rPr>
      </w:pPr>
      <w:r w:rsidRPr="00AB2162">
        <w:rPr>
          <w:rFonts w:hint="cs"/>
          <w:noProof/>
          <w:sz w:val="24"/>
          <w:cs/>
        </w:rPr>
        <w:t>आ</w:t>
      </w:r>
      <w:r w:rsidRPr="00AB2162">
        <w:rPr>
          <w:noProof/>
          <w:sz w:val="24"/>
        </w:rPr>
        <w:t>.</w:t>
      </w:r>
      <w:r w:rsidRPr="00AB2162">
        <w:rPr>
          <w:rFonts w:hint="cs"/>
          <w:noProof/>
          <w:sz w:val="24"/>
          <w:cs/>
        </w:rPr>
        <w:t>व</w:t>
      </w:r>
      <w:r w:rsidRPr="00AB2162">
        <w:rPr>
          <w:noProof/>
          <w:sz w:val="24"/>
        </w:rPr>
        <w:t xml:space="preserve">. </w:t>
      </w:r>
      <w:r w:rsidRPr="00AB2162">
        <w:rPr>
          <w:rFonts w:hint="cs"/>
          <w:noProof/>
          <w:sz w:val="24"/>
          <w:cs/>
        </w:rPr>
        <w:t>२०८२</w:t>
      </w:r>
      <w:r w:rsidRPr="00AB2162">
        <w:rPr>
          <w:noProof/>
          <w:sz w:val="24"/>
        </w:rPr>
        <w:t>/</w:t>
      </w:r>
      <w:r w:rsidRPr="00AB2162">
        <w:rPr>
          <w:rFonts w:hint="cs"/>
          <w:noProof/>
          <w:sz w:val="24"/>
          <w:cs/>
        </w:rPr>
        <w:t xml:space="preserve">८३ को दोस्रो त्रैमासिक </w:t>
      </w:r>
      <w:r>
        <w:rPr>
          <w:noProof/>
          <w:cs/>
        </w:rPr>
        <w:br/>
      </w:r>
      <w:r w:rsidRPr="00AB2162">
        <w:rPr>
          <w:noProof/>
          <w:sz w:val="26"/>
          <w:szCs w:val="24"/>
        </w:rPr>
        <w:t>(</w:t>
      </w:r>
      <w:r w:rsidRPr="00AB2162">
        <w:rPr>
          <w:rFonts w:hint="cs"/>
          <w:noProof/>
          <w:sz w:val="26"/>
          <w:szCs w:val="24"/>
          <w:cs/>
        </w:rPr>
        <w:t>कार्तिक</w:t>
      </w:r>
      <w:r w:rsidRPr="00AB2162">
        <w:rPr>
          <w:noProof/>
          <w:sz w:val="26"/>
          <w:szCs w:val="24"/>
        </w:rPr>
        <w:t xml:space="preserve">, </w:t>
      </w:r>
      <w:r w:rsidRPr="00AB2162">
        <w:rPr>
          <w:rFonts w:hint="cs"/>
          <w:noProof/>
          <w:sz w:val="26"/>
          <w:szCs w:val="24"/>
          <w:cs/>
        </w:rPr>
        <w:t>मंसीर</w:t>
      </w:r>
      <w:r w:rsidRPr="00AB2162">
        <w:rPr>
          <w:noProof/>
          <w:sz w:val="26"/>
          <w:szCs w:val="24"/>
        </w:rPr>
        <w:t xml:space="preserve">, </w:t>
      </w:r>
      <w:r w:rsidRPr="00AB2162">
        <w:rPr>
          <w:rFonts w:hint="cs"/>
          <w:noProof/>
          <w:sz w:val="26"/>
          <w:szCs w:val="24"/>
          <w:cs/>
        </w:rPr>
        <w:t xml:space="preserve">पौष </w:t>
      </w:r>
      <w:r w:rsidRPr="00AB2162">
        <w:rPr>
          <w:noProof/>
          <w:sz w:val="26"/>
          <w:szCs w:val="24"/>
        </w:rPr>
        <w:t>| October/November - December/Janauary 2025/26)</w:t>
      </w:r>
    </w:p>
    <w:p w14:paraId="3FB2F323" w14:textId="77777777" w:rsidR="00624BA4" w:rsidRDefault="00624BA4" w:rsidP="00624BA4">
      <w:pPr>
        <w:jc w:val="center"/>
        <w:rPr>
          <w:noProof/>
          <w:sz w:val="26"/>
          <w:szCs w:val="24"/>
        </w:rPr>
      </w:pPr>
    </w:p>
    <w:p w14:paraId="4F265BE2" w14:textId="3CE19E4B" w:rsidR="00624BA4" w:rsidRDefault="00624BA4" w:rsidP="00624BA4">
      <w:pPr>
        <w:jc w:val="center"/>
        <w:rPr>
          <w:noProof/>
          <w:sz w:val="26"/>
          <w:szCs w:val="24"/>
        </w:rPr>
      </w:pPr>
      <w:r>
        <w:rPr>
          <w:rFonts w:hint="cs"/>
          <w:noProof/>
          <w:sz w:val="26"/>
          <w:szCs w:val="24"/>
          <w:cs/>
        </w:rPr>
        <w:t>प्रारम्भिक नतिजा</w:t>
      </w:r>
      <w:r>
        <w:rPr>
          <w:noProof/>
          <w:sz w:val="26"/>
          <w:szCs w:val="24"/>
        </w:rPr>
        <w:br/>
        <w:t>(Preliminary Results)</w:t>
      </w:r>
    </w:p>
    <w:p w14:paraId="0D9FC299" w14:textId="6AE4B4B0" w:rsidR="00624BA4" w:rsidRDefault="00624BA4" w:rsidP="00624BA4">
      <w:pPr>
        <w:jc w:val="center"/>
        <w:rPr>
          <w:noProof/>
          <w:cs/>
        </w:rPr>
      </w:pPr>
      <w:r>
        <w:rPr>
          <w:rFonts w:hint="cs"/>
          <w:noProof/>
          <w:sz w:val="26"/>
          <w:szCs w:val="24"/>
          <w:cs/>
        </w:rPr>
        <w:t xml:space="preserve">२०८८ साल चैत्र </w:t>
      </w:r>
      <w:r w:rsidR="005E78DC">
        <w:rPr>
          <w:rFonts w:cs="Nirmala UI" w:hint="cs"/>
          <w:noProof/>
          <w:sz w:val="26"/>
          <w:szCs w:val="24"/>
          <w:cs/>
          <w:lang w:bidi="ne-NP"/>
        </w:rPr>
        <w:t>२३</w:t>
      </w:r>
      <w:r>
        <w:rPr>
          <w:rFonts w:hint="cs"/>
          <w:noProof/>
          <w:sz w:val="26"/>
          <w:szCs w:val="24"/>
          <w:cs/>
        </w:rPr>
        <w:t xml:space="preserve"> गते</w:t>
      </w:r>
    </w:p>
    <w:p w14:paraId="44F924B9" w14:textId="77777777" w:rsidR="00624BA4" w:rsidRDefault="00624BA4" w:rsidP="00624BA4"/>
    <w:p w14:paraId="2502AF71" w14:textId="77777777" w:rsidR="00624BA4" w:rsidRDefault="00624BA4" w:rsidP="00624BA4">
      <w:pPr>
        <w:rPr>
          <w:cs/>
        </w:rPr>
      </w:pPr>
      <w:r>
        <w:rPr>
          <w:cs/>
        </w:rPr>
        <w:br w:type="page"/>
      </w:r>
    </w:p>
    <w:p w14:paraId="0F0A1F8B" w14:textId="26F95D64" w:rsidR="00DA55DE" w:rsidRPr="00DA55DE" w:rsidRDefault="00574B83" w:rsidP="00DA55DE">
      <w:pPr>
        <w:jc w:val="both"/>
        <w:rPr>
          <w:rFonts w:ascii="Calibri" w:eastAsia="Times New Roman" w:hAnsi="Calibri"/>
          <w:b/>
          <w:bCs/>
          <w:color w:val="000000"/>
          <w:kern w:val="0"/>
          <w:sz w:val="24"/>
          <w:szCs w:val="24"/>
          <w:lang w:bidi="ne-NP"/>
          <w14:ligatures w14:val="none"/>
        </w:rPr>
      </w:pPr>
      <w:r w:rsidRPr="00574B83">
        <w:rPr>
          <w:rFonts w:ascii="Calibri" w:eastAsia="Times New Roman" w:hAnsi="Calibri"/>
          <w:b/>
          <w:bCs/>
          <w:color w:val="000000"/>
          <w:kern w:val="0"/>
          <w:sz w:val="24"/>
          <w:szCs w:val="24"/>
          <w:lang w:bidi="ne-NP"/>
          <w14:ligatures w14:val="none"/>
        </w:rPr>
        <w:lastRenderedPageBreak/>
        <w:t>1. Overall Index Movement</w:t>
      </w:r>
    </w:p>
    <w:p w14:paraId="2BCBBC47" w14:textId="32BBF253" w:rsidR="00574B83" w:rsidRPr="00A93CF8" w:rsidRDefault="00DA55DE" w:rsidP="001812A0">
      <w:pPr>
        <w:jc w:val="both"/>
        <w:rPr>
          <w:rFonts w:ascii="Calibri" w:eastAsia="Times New Roman" w:hAnsi="Calibri"/>
          <w:color w:val="000000"/>
          <w:kern w:val="0"/>
          <w:sz w:val="24"/>
          <w:szCs w:val="24"/>
          <w:lang w:bidi="ne-NP"/>
          <w14:ligatures w14:val="none"/>
        </w:rPr>
      </w:pPr>
      <w:r w:rsidRPr="00DA55DE">
        <w:rPr>
          <w:rFonts w:ascii="Calibri" w:eastAsia="Times New Roman" w:hAnsi="Calibri"/>
          <w:color w:val="000000"/>
          <w:kern w:val="0"/>
          <w:sz w:val="24"/>
          <w:szCs w:val="24"/>
          <w:lang w:bidi="ne-NP"/>
          <w14:ligatures w14:val="none"/>
        </w:rPr>
        <w:t>During the second quarter of F</w:t>
      </w:r>
      <w:r w:rsidR="000F4A65">
        <w:rPr>
          <w:rFonts w:ascii="Calibri" w:eastAsia="Times New Roman" w:hAnsi="Calibri"/>
          <w:color w:val="000000"/>
          <w:kern w:val="0"/>
          <w:sz w:val="24"/>
          <w:szCs w:val="24"/>
          <w:lang w:bidi="ne-NP"/>
          <w14:ligatures w14:val="none"/>
        </w:rPr>
        <w:t>Y</w:t>
      </w:r>
      <w:r w:rsidRPr="00DA55DE">
        <w:rPr>
          <w:rFonts w:ascii="Calibri" w:eastAsia="Times New Roman" w:hAnsi="Calibri"/>
          <w:color w:val="000000"/>
          <w:kern w:val="0"/>
          <w:sz w:val="24"/>
          <w:szCs w:val="24"/>
          <w:lang w:bidi="ne-NP"/>
          <w14:ligatures w14:val="none"/>
        </w:rPr>
        <w:t xml:space="preserve"> 2082/83, the Input Price Index of the Construction Sector (IPICS) reached 152.</w:t>
      </w:r>
      <w:r w:rsidR="00F80CC2">
        <w:rPr>
          <w:rFonts w:ascii="Calibri" w:eastAsia="Times New Roman" w:hAnsi="Calibri"/>
          <w:color w:val="000000"/>
          <w:kern w:val="0"/>
          <w:sz w:val="24"/>
          <w:szCs w:val="24"/>
          <w:lang w:bidi="ne-NP"/>
          <w14:ligatures w14:val="none"/>
        </w:rPr>
        <w:t>1</w:t>
      </w:r>
      <w:r w:rsidRPr="00DA55DE">
        <w:rPr>
          <w:rFonts w:ascii="Calibri" w:eastAsia="Times New Roman" w:hAnsi="Calibri"/>
          <w:color w:val="000000"/>
          <w:kern w:val="0"/>
          <w:sz w:val="24"/>
          <w:szCs w:val="24"/>
          <w:lang w:bidi="ne-NP"/>
          <w14:ligatures w14:val="none"/>
        </w:rPr>
        <w:t>, showing a 0.</w:t>
      </w:r>
      <w:r w:rsidR="00F80CC2">
        <w:rPr>
          <w:rFonts w:ascii="Calibri" w:eastAsia="Times New Roman" w:hAnsi="Calibri"/>
          <w:color w:val="000000"/>
          <w:kern w:val="0"/>
          <w:sz w:val="24"/>
          <w:szCs w:val="24"/>
          <w:lang w:bidi="ne-NP"/>
          <w14:ligatures w14:val="none"/>
        </w:rPr>
        <w:t>1</w:t>
      </w:r>
      <w:r w:rsidRPr="00DA55DE">
        <w:rPr>
          <w:rFonts w:ascii="Calibri" w:eastAsia="Times New Roman" w:hAnsi="Calibri"/>
          <w:color w:val="000000"/>
          <w:kern w:val="0"/>
          <w:sz w:val="24"/>
          <w:szCs w:val="24"/>
          <w:lang w:bidi="ne-NP"/>
          <w14:ligatures w14:val="none"/>
        </w:rPr>
        <w:t>% increase compared to 151.7 in the same quarter of</w:t>
      </w:r>
      <w:r w:rsidRPr="00D03E73">
        <w:rPr>
          <w:rFonts w:ascii="Calibri" w:eastAsia="Times New Roman" w:hAnsi="Calibri"/>
          <w:color w:val="000000"/>
          <w:kern w:val="0"/>
          <w:sz w:val="24"/>
          <w:szCs w:val="24"/>
          <w:lang w:bidi="ne-NP"/>
          <w14:ligatures w14:val="none"/>
        </w:rPr>
        <w:t xml:space="preserve"> the previous</w:t>
      </w:r>
      <w:r w:rsidRPr="00DA55DE">
        <w:rPr>
          <w:rFonts w:ascii="Calibri" w:eastAsia="Times New Roman" w:hAnsi="Calibri"/>
          <w:color w:val="000000"/>
          <w:kern w:val="0"/>
          <w:sz w:val="24"/>
          <w:szCs w:val="24"/>
          <w:lang w:bidi="ne-NP"/>
          <w14:ligatures w14:val="none"/>
        </w:rPr>
        <w:t xml:space="preserve"> FY 2081/8</w:t>
      </w:r>
      <w:r w:rsidRPr="00A93CF8">
        <w:rPr>
          <w:rFonts w:ascii="Calibri" w:eastAsia="Times New Roman" w:hAnsi="Calibri"/>
          <w:color w:val="000000"/>
          <w:kern w:val="0"/>
          <w:sz w:val="24"/>
          <w:szCs w:val="24"/>
          <w:lang w:bidi="ne-NP"/>
          <w14:ligatures w14:val="none"/>
        </w:rPr>
        <w:t xml:space="preserve">2. </w:t>
      </w:r>
      <w:r w:rsidR="007F3837" w:rsidRPr="00A93CF8">
        <w:rPr>
          <w:rFonts w:ascii="Calibri" w:eastAsia="Times New Roman" w:hAnsi="Calibri"/>
          <w:color w:val="000000"/>
          <w:kern w:val="0"/>
          <w:sz w:val="24"/>
          <w:szCs w:val="24"/>
          <w:lang w:bidi="ne-NP"/>
          <w14:ligatures w14:val="none"/>
        </w:rPr>
        <w:t>However, compared to the first quarter of FY 2082/83, the index declined slightly by 0.12%, suggesting overall short-term stability with a mild downward pressure on construction costs.</w:t>
      </w:r>
    </w:p>
    <w:p w14:paraId="4202BCD2" w14:textId="77777777" w:rsidR="00574B83" w:rsidRPr="00574B83" w:rsidRDefault="00574B83" w:rsidP="001812A0">
      <w:pPr>
        <w:jc w:val="both"/>
        <w:rPr>
          <w:rFonts w:ascii="Calibri" w:eastAsia="Times New Roman" w:hAnsi="Calibri"/>
          <w:b/>
          <w:bCs/>
          <w:color w:val="000000"/>
          <w:kern w:val="0"/>
          <w:sz w:val="24"/>
          <w:szCs w:val="24"/>
          <w:lang w:bidi="ne-NP"/>
          <w14:ligatures w14:val="none"/>
        </w:rPr>
      </w:pPr>
      <w:r w:rsidRPr="00574B83">
        <w:rPr>
          <w:rFonts w:ascii="Calibri" w:eastAsia="Times New Roman" w:hAnsi="Calibri"/>
          <w:b/>
          <w:bCs/>
          <w:color w:val="000000"/>
          <w:kern w:val="0"/>
          <w:sz w:val="24"/>
          <w:szCs w:val="24"/>
          <w:lang w:bidi="ne-NP"/>
          <w14:ligatures w14:val="none"/>
        </w:rPr>
        <w:t>2. Quarter-on-Quarter (QoQ) Analysis: Materials with Significant Price Fluctuations</w:t>
      </w:r>
    </w:p>
    <w:p w14:paraId="058F6DB2" w14:textId="77777777" w:rsidR="00527636" w:rsidRPr="00527636" w:rsidRDefault="00527636" w:rsidP="00527636">
      <w:pPr>
        <w:jc w:val="both"/>
        <w:rPr>
          <w:rFonts w:ascii="Calibri" w:eastAsia="Times New Roman" w:hAnsi="Calibri"/>
          <w:color w:val="000000"/>
          <w:kern w:val="0"/>
          <w:sz w:val="24"/>
          <w:szCs w:val="24"/>
          <w:lang w:bidi="ne-NP"/>
          <w14:ligatures w14:val="none"/>
        </w:rPr>
      </w:pPr>
      <w:r w:rsidRPr="00527636">
        <w:rPr>
          <w:rFonts w:ascii="Calibri" w:eastAsia="Times New Roman" w:hAnsi="Calibri"/>
          <w:color w:val="000000"/>
          <w:kern w:val="0"/>
          <w:sz w:val="24"/>
          <w:szCs w:val="24"/>
          <w:lang w:bidi="ne-NP"/>
          <w14:ligatures w14:val="none"/>
        </w:rPr>
        <w:t>Between the first and second quarters of FY 2082/83, construction material prices showed mixed movements.</w:t>
      </w:r>
    </w:p>
    <w:p w14:paraId="6A7005BA" w14:textId="77777777" w:rsidR="00527636" w:rsidRPr="00527636" w:rsidRDefault="00527636" w:rsidP="00527636">
      <w:pPr>
        <w:jc w:val="both"/>
        <w:rPr>
          <w:rFonts w:ascii="Calibri" w:eastAsia="Times New Roman" w:hAnsi="Calibri"/>
          <w:color w:val="000000"/>
          <w:kern w:val="0"/>
          <w:sz w:val="24"/>
          <w:szCs w:val="24"/>
          <w:lang w:bidi="ne-NP"/>
          <w14:ligatures w14:val="none"/>
        </w:rPr>
      </w:pPr>
      <w:r w:rsidRPr="00527636">
        <w:rPr>
          <w:rFonts w:ascii="Calibri" w:eastAsia="Times New Roman" w:hAnsi="Calibri"/>
          <w:color w:val="000000"/>
          <w:kern w:val="0"/>
          <w:sz w:val="24"/>
          <w:szCs w:val="24"/>
          <w:lang w:bidi="ne-NP"/>
          <w14:ligatures w14:val="none"/>
        </w:rPr>
        <w:t>Materials with price increases included electric wire (8.63%), bitumen (4.30%), brick (2.71%), marble (1.37%), and GI pipe fittings (1.24%), suggesting increased demand or supply constraints.</w:t>
      </w:r>
    </w:p>
    <w:p w14:paraId="66989605" w14:textId="749DAE19" w:rsidR="00527636" w:rsidRPr="00527636" w:rsidRDefault="00527636" w:rsidP="00527636">
      <w:pPr>
        <w:jc w:val="both"/>
        <w:rPr>
          <w:rFonts w:ascii="Calibri" w:eastAsia="Times New Roman" w:hAnsi="Calibri"/>
          <w:color w:val="000000"/>
          <w:kern w:val="0"/>
          <w:sz w:val="24"/>
          <w:szCs w:val="24"/>
          <w:lang w:bidi="ne-NP"/>
          <w14:ligatures w14:val="none"/>
        </w:rPr>
      </w:pPr>
      <w:r w:rsidRPr="00527636">
        <w:rPr>
          <w:rFonts w:ascii="Calibri" w:eastAsia="Times New Roman" w:hAnsi="Calibri"/>
          <w:color w:val="000000"/>
          <w:kern w:val="0"/>
          <w:sz w:val="24"/>
          <w:szCs w:val="24"/>
          <w:lang w:bidi="ne-NP"/>
          <w14:ligatures w14:val="none"/>
        </w:rPr>
        <w:t>Materials with price decreases were ga</w:t>
      </w:r>
      <w:r w:rsidR="00B34E2A">
        <w:rPr>
          <w:rFonts w:ascii="Calibri" w:eastAsia="Times New Roman" w:hAnsi="Calibri"/>
          <w:color w:val="000000"/>
          <w:kern w:val="0"/>
          <w:sz w:val="24"/>
          <w:szCs w:val="24"/>
          <w:lang w:bidi="ne-NP"/>
          <w14:ligatures w14:val="none"/>
        </w:rPr>
        <w:t>bion</w:t>
      </w:r>
      <w:r w:rsidRPr="00527636">
        <w:rPr>
          <w:rFonts w:ascii="Calibri" w:eastAsia="Times New Roman" w:hAnsi="Calibri"/>
          <w:color w:val="000000"/>
          <w:kern w:val="0"/>
          <w:sz w:val="24"/>
          <w:szCs w:val="24"/>
          <w:lang w:bidi="ne-NP"/>
          <w14:ligatures w14:val="none"/>
        </w:rPr>
        <w:t xml:space="preserve"> wire (-4.68%), Hume pipe (-3.37%), polythene pipe (-2.84%), </w:t>
      </w:r>
      <w:r w:rsidR="00F80CC2" w:rsidRPr="00527636">
        <w:rPr>
          <w:rFonts w:ascii="Calibri" w:eastAsia="Times New Roman" w:hAnsi="Calibri"/>
          <w:color w:val="000000"/>
          <w:kern w:val="0"/>
          <w:sz w:val="24"/>
          <w:szCs w:val="24"/>
          <w:lang w:bidi="ne-NP"/>
          <w14:ligatures w14:val="none"/>
        </w:rPr>
        <w:t>concrete (-2.59%)</w:t>
      </w:r>
      <w:r w:rsidRPr="00527636">
        <w:rPr>
          <w:rFonts w:ascii="Calibri" w:eastAsia="Times New Roman" w:hAnsi="Calibri"/>
          <w:color w:val="000000"/>
          <w:kern w:val="0"/>
          <w:sz w:val="24"/>
          <w:szCs w:val="24"/>
          <w:lang w:bidi="ne-NP"/>
          <w14:ligatures w14:val="none"/>
        </w:rPr>
        <w:t xml:space="preserve">, and </w:t>
      </w:r>
      <w:r w:rsidR="00F80CC2">
        <w:rPr>
          <w:rFonts w:ascii="Calibri" w:eastAsia="Times New Roman" w:hAnsi="Calibri"/>
          <w:color w:val="000000"/>
          <w:kern w:val="0"/>
          <w:sz w:val="24"/>
          <w:szCs w:val="24"/>
          <w:lang w:bidi="ne-NP"/>
          <w14:ligatures w14:val="none"/>
        </w:rPr>
        <w:t>iron rod</w:t>
      </w:r>
      <w:r w:rsidRPr="00527636">
        <w:rPr>
          <w:rFonts w:ascii="Calibri" w:eastAsia="Times New Roman" w:hAnsi="Calibri"/>
          <w:color w:val="000000"/>
          <w:kern w:val="0"/>
          <w:sz w:val="24"/>
          <w:szCs w:val="24"/>
          <w:lang w:bidi="ne-NP"/>
          <w14:ligatures w14:val="none"/>
        </w:rPr>
        <w:t xml:space="preserve"> (-2.</w:t>
      </w:r>
      <w:r w:rsidR="00F80CC2">
        <w:rPr>
          <w:rFonts w:ascii="Calibri" w:eastAsia="Times New Roman" w:hAnsi="Calibri"/>
          <w:color w:val="000000"/>
          <w:kern w:val="0"/>
          <w:sz w:val="24"/>
          <w:szCs w:val="24"/>
          <w:lang w:bidi="ne-NP"/>
          <w14:ligatures w14:val="none"/>
        </w:rPr>
        <w:t>22</w:t>
      </w:r>
      <w:r w:rsidRPr="00527636">
        <w:rPr>
          <w:rFonts w:ascii="Calibri" w:eastAsia="Times New Roman" w:hAnsi="Calibri"/>
          <w:color w:val="000000"/>
          <w:kern w:val="0"/>
          <w:sz w:val="24"/>
          <w:szCs w:val="24"/>
          <w:lang w:bidi="ne-NP"/>
          <w14:ligatures w14:val="none"/>
        </w:rPr>
        <w:t>%), possibly reflecting improved supply or reduced demand.</w:t>
      </w:r>
    </w:p>
    <w:p w14:paraId="5B6EB890" w14:textId="77777777" w:rsidR="00A93CF8" w:rsidRDefault="00A93CF8" w:rsidP="001812A0">
      <w:pPr>
        <w:jc w:val="both"/>
        <w:rPr>
          <w:rFonts w:ascii="Calibri" w:eastAsia="Times New Roman" w:hAnsi="Calibri"/>
          <w:b/>
          <w:bCs/>
          <w:color w:val="000000"/>
          <w:kern w:val="0"/>
          <w:sz w:val="24"/>
          <w:szCs w:val="24"/>
          <w:lang w:bidi="ne-NP"/>
          <w14:ligatures w14:val="none"/>
        </w:rPr>
      </w:pPr>
      <w:r w:rsidRPr="00A93CF8">
        <w:rPr>
          <w:rFonts w:ascii="Calibri" w:eastAsia="Times New Roman" w:hAnsi="Calibri"/>
          <w:color w:val="000000"/>
          <w:kern w:val="0"/>
          <w:sz w:val="24"/>
          <w:szCs w:val="24"/>
          <w:lang w:bidi="ne-NP"/>
          <w14:ligatures w14:val="none"/>
        </w:rPr>
        <w:t>Overall, the quarter-on-quarter trend reflects noticeable price volatility across construction materials.</w:t>
      </w:r>
      <w:r w:rsidRPr="00A93CF8">
        <w:rPr>
          <w:rFonts w:ascii="Calibri" w:eastAsia="Times New Roman" w:hAnsi="Calibri"/>
          <w:b/>
          <w:bCs/>
          <w:color w:val="000000"/>
          <w:kern w:val="0"/>
          <w:sz w:val="24"/>
          <w:szCs w:val="24"/>
          <w:lang w:bidi="ne-NP"/>
          <w14:ligatures w14:val="none"/>
        </w:rPr>
        <w:t xml:space="preserve"> </w:t>
      </w:r>
    </w:p>
    <w:p w14:paraId="29B6BBC4" w14:textId="33303504" w:rsidR="00574B83" w:rsidRPr="00574B83" w:rsidRDefault="00574B83" w:rsidP="001812A0">
      <w:pPr>
        <w:jc w:val="both"/>
        <w:rPr>
          <w:rFonts w:ascii="Calibri" w:eastAsia="Times New Roman" w:hAnsi="Calibri"/>
          <w:b/>
          <w:bCs/>
          <w:color w:val="000000"/>
          <w:kern w:val="0"/>
          <w:sz w:val="24"/>
          <w:szCs w:val="24"/>
          <w:lang w:bidi="ne-NP"/>
          <w14:ligatures w14:val="none"/>
        </w:rPr>
      </w:pPr>
      <w:r w:rsidRPr="00574B83">
        <w:rPr>
          <w:rFonts w:ascii="Calibri" w:eastAsia="Times New Roman" w:hAnsi="Calibri"/>
          <w:b/>
          <w:bCs/>
          <w:color w:val="000000"/>
          <w:kern w:val="0"/>
          <w:sz w:val="24"/>
          <w:szCs w:val="24"/>
          <w:lang w:bidi="ne-NP"/>
          <w14:ligatures w14:val="none"/>
        </w:rPr>
        <w:t>(a) Materials with High Price Increase</w:t>
      </w:r>
    </w:p>
    <w:tbl>
      <w:tblPr>
        <w:tblStyle w:val="TableGrid"/>
        <w:tblW w:w="5000" w:type="pct"/>
        <w:tblLook w:val="04A0" w:firstRow="1" w:lastRow="0" w:firstColumn="1" w:lastColumn="0" w:noHBand="0" w:noVBand="1"/>
      </w:tblPr>
      <w:tblGrid>
        <w:gridCol w:w="1341"/>
        <w:gridCol w:w="5436"/>
        <w:gridCol w:w="2573"/>
      </w:tblGrid>
      <w:tr w:rsidR="00574B83" w:rsidRPr="00574B83" w14:paraId="0AD29F23" w14:textId="77777777" w:rsidTr="00117D23">
        <w:tc>
          <w:tcPr>
            <w:tcW w:w="717" w:type="pct"/>
            <w:shd w:val="clear" w:color="auto" w:fill="DEEAF6" w:themeFill="accent5" w:themeFillTint="33"/>
            <w:hideMark/>
          </w:tcPr>
          <w:p w14:paraId="624E293D" w14:textId="77777777" w:rsidR="00574B83" w:rsidRPr="00574B83" w:rsidRDefault="00574B83" w:rsidP="00117D23">
            <w:pPr>
              <w:spacing w:after="160" w:line="259" w:lineRule="auto"/>
              <w:jc w:val="center"/>
              <w:rPr>
                <w:rFonts w:ascii="Calibri" w:eastAsia="Times New Roman" w:hAnsi="Calibri"/>
                <w:b/>
                <w:bCs/>
                <w:color w:val="000000"/>
                <w:kern w:val="0"/>
                <w:sz w:val="24"/>
                <w:szCs w:val="24"/>
                <w:lang w:bidi="ne-NP"/>
                <w14:ligatures w14:val="none"/>
              </w:rPr>
            </w:pPr>
            <w:r w:rsidRPr="00574B83">
              <w:rPr>
                <w:rFonts w:ascii="Calibri" w:eastAsia="Times New Roman" w:hAnsi="Calibri"/>
                <w:b/>
                <w:bCs/>
                <w:color w:val="000000"/>
                <w:kern w:val="0"/>
                <w:sz w:val="24"/>
                <w:szCs w:val="24"/>
                <w:lang w:bidi="ne-NP"/>
                <w14:ligatures w14:val="none"/>
              </w:rPr>
              <w:t>S.N.</w:t>
            </w:r>
          </w:p>
        </w:tc>
        <w:tc>
          <w:tcPr>
            <w:tcW w:w="2907" w:type="pct"/>
            <w:shd w:val="clear" w:color="auto" w:fill="DEEAF6" w:themeFill="accent5" w:themeFillTint="33"/>
            <w:hideMark/>
          </w:tcPr>
          <w:p w14:paraId="6B90FD99" w14:textId="77777777" w:rsidR="00574B83" w:rsidRPr="00574B83" w:rsidRDefault="00574B83" w:rsidP="00117D23">
            <w:pPr>
              <w:spacing w:after="160" w:line="259" w:lineRule="auto"/>
              <w:jc w:val="center"/>
              <w:rPr>
                <w:rFonts w:ascii="Calibri" w:eastAsia="Times New Roman" w:hAnsi="Calibri"/>
                <w:b/>
                <w:bCs/>
                <w:color w:val="000000"/>
                <w:kern w:val="0"/>
                <w:sz w:val="24"/>
                <w:szCs w:val="24"/>
                <w:lang w:bidi="ne-NP"/>
                <w14:ligatures w14:val="none"/>
              </w:rPr>
            </w:pPr>
            <w:r w:rsidRPr="00574B83">
              <w:rPr>
                <w:rFonts w:ascii="Calibri" w:eastAsia="Times New Roman" w:hAnsi="Calibri"/>
                <w:b/>
                <w:bCs/>
                <w:color w:val="000000"/>
                <w:kern w:val="0"/>
                <w:sz w:val="24"/>
                <w:szCs w:val="24"/>
                <w:lang w:bidi="ne-NP"/>
                <w14:ligatures w14:val="none"/>
              </w:rPr>
              <w:t>Construction Materials</w:t>
            </w:r>
          </w:p>
        </w:tc>
        <w:tc>
          <w:tcPr>
            <w:tcW w:w="1376" w:type="pct"/>
            <w:shd w:val="clear" w:color="auto" w:fill="DEEAF6" w:themeFill="accent5" w:themeFillTint="33"/>
            <w:hideMark/>
          </w:tcPr>
          <w:p w14:paraId="345DBAC3" w14:textId="77777777" w:rsidR="00574B83" w:rsidRPr="00574B83" w:rsidRDefault="00574B83" w:rsidP="00117D23">
            <w:pPr>
              <w:spacing w:after="160" w:line="259" w:lineRule="auto"/>
              <w:jc w:val="center"/>
              <w:rPr>
                <w:rFonts w:ascii="Calibri" w:eastAsia="Times New Roman" w:hAnsi="Calibri"/>
                <w:b/>
                <w:bCs/>
                <w:color w:val="000000"/>
                <w:kern w:val="0"/>
                <w:sz w:val="24"/>
                <w:szCs w:val="24"/>
                <w:lang w:bidi="ne-NP"/>
                <w14:ligatures w14:val="none"/>
              </w:rPr>
            </w:pPr>
            <w:r w:rsidRPr="00574B83">
              <w:rPr>
                <w:rFonts w:ascii="Calibri" w:eastAsia="Times New Roman" w:hAnsi="Calibri"/>
                <w:b/>
                <w:bCs/>
                <w:color w:val="000000"/>
                <w:kern w:val="0"/>
                <w:sz w:val="24"/>
                <w:szCs w:val="24"/>
                <w:lang w:bidi="ne-NP"/>
                <w14:ligatures w14:val="none"/>
              </w:rPr>
              <w:t>% Change</w:t>
            </w:r>
          </w:p>
        </w:tc>
      </w:tr>
      <w:tr w:rsidR="00574B83" w:rsidRPr="00574B83" w14:paraId="08D08173" w14:textId="77777777" w:rsidTr="001812A0">
        <w:tc>
          <w:tcPr>
            <w:tcW w:w="717" w:type="pct"/>
            <w:hideMark/>
          </w:tcPr>
          <w:p w14:paraId="4D2FC274" w14:textId="77777777" w:rsidR="00574B83" w:rsidRPr="00574B83" w:rsidRDefault="00574B83" w:rsidP="001812A0">
            <w:pPr>
              <w:spacing w:after="160" w:line="259" w:lineRule="auto"/>
              <w:jc w:val="both"/>
              <w:rPr>
                <w:rFonts w:ascii="Calibri" w:eastAsia="Times New Roman" w:hAnsi="Calibri"/>
                <w:color w:val="000000"/>
                <w:kern w:val="0"/>
                <w:sz w:val="24"/>
                <w:szCs w:val="24"/>
                <w:lang w:bidi="ne-NP"/>
                <w14:ligatures w14:val="none"/>
              </w:rPr>
            </w:pPr>
            <w:r w:rsidRPr="00574B83">
              <w:rPr>
                <w:rFonts w:ascii="Calibri" w:eastAsia="Times New Roman" w:hAnsi="Calibri"/>
                <w:color w:val="000000"/>
                <w:kern w:val="0"/>
                <w:sz w:val="24"/>
                <w:szCs w:val="24"/>
                <w:lang w:bidi="ne-NP"/>
                <w14:ligatures w14:val="none"/>
              </w:rPr>
              <w:t>1</w:t>
            </w:r>
          </w:p>
        </w:tc>
        <w:tc>
          <w:tcPr>
            <w:tcW w:w="2907" w:type="pct"/>
            <w:hideMark/>
          </w:tcPr>
          <w:p w14:paraId="3C43B395" w14:textId="77777777" w:rsidR="00574B83" w:rsidRPr="00574B83" w:rsidRDefault="00574B83" w:rsidP="001812A0">
            <w:pPr>
              <w:spacing w:after="160" w:line="259" w:lineRule="auto"/>
              <w:jc w:val="both"/>
              <w:rPr>
                <w:rFonts w:ascii="Calibri" w:eastAsia="Times New Roman" w:hAnsi="Calibri"/>
                <w:color w:val="000000"/>
                <w:kern w:val="0"/>
                <w:sz w:val="24"/>
                <w:szCs w:val="24"/>
                <w:lang w:bidi="ne-NP"/>
                <w14:ligatures w14:val="none"/>
              </w:rPr>
            </w:pPr>
            <w:r w:rsidRPr="00574B83">
              <w:rPr>
                <w:rFonts w:ascii="Calibri" w:eastAsia="Times New Roman" w:hAnsi="Calibri"/>
                <w:color w:val="000000"/>
                <w:kern w:val="0"/>
                <w:sz w:val="24"/>
                <w:szCs w:val="24"/>
                <w:lang w:bidi="ne-NP"/>
                <w14:ligatures w14:val="none"/>
              </w:rPr>
              <w:t>Electric wire</w:t>
            </w:r>
          </w:p>
        </w:tc>
        <w:tc>
          <w:tcPr>
            <w:tcW w:w="1376" w:type="pct"/>
            <w:hideMark/>
          </w:tcPr>
          <w:p w14:paraId="0C4D33FF" w14:textId="77777777" w:rsidR="00574B83" w:rsidRPr="00574B83" w:rsidRDefault="00574B83" w:rsidP="001812A0">
            <w:pPr>
              <w:spacing w:after="160" w:line="259" w:lineRule="auto"/>
              <w:jc w:val="both"/>
              <w:rPr>
                <w:rFonts w:ascii="Calibri" w:eastAsia="Times New Roman" w:hAnsi="Calibri"/>
                <w:color w:val="000000"/>
                <w:kern w:val="0"/>
                <w:sz w:val="24"/>
                <w:szCs w:val="24"/>
                <w:lang w:bidi="ne-NP"/>
                <w14:ligatures w14:val="none"/>
              </w:rPr>
            </w:pPr>
            <w:r w:rsidRPr="00574B83">
              <w:rPr>
                <w:rFonts w:ascii="Calibri" w:eastAsia="Times New Roman" w:hAnsi="Calibri"/>
                <w:color w:val="000000"/>
                <w:kern w:val="0"/>
                <w:sz w:val="24"/>
                <w:szCs w:val="24"/>
                <w:lang w:bidi="ne-NP"/>
                <w14:ligatures w14:val="none"/>
              </w:rPr>
              <w:t>8.63</w:t>
            </w:r>
          </w:p>
        </w:tc>
      </w:tr>
      <w:tr w:rsidR="00574B83" w:rsidRPr="00574B83" w14:paraId="3F1AB8D1" w14:textId="77777777" w:rsidTr="001812A0">
        <w:tc>
          <w:tcPr>
            <w:tcW w:w="717" w:type="pct"/>
            <w:hideMark/>
          </w:tcPr>
          <w:p w14:paraId="4202DB04" w14:textId="77777777" w:rsidR="00574B83" w:rsidRPr="00574B83" w:rsidRDefault="00574B83" w:rsidP="001812A0">
            <w:pPr>
              <w:spacing w:after="160" w:line="259" w:lineRule="auto"/>
              <w:jc w:val="both"/>
              <w:rPr>
                <w:rFonts w:ascii="Calibri" w:eastAsia="Times New Roman" w:hAnsi="Calibri"/>
                <w:color w:val="000000"/>
                <w:kern w:val="0"/>
                <w:sz w:val="24"/>
                <w:szCs w:val="24"/>
                <w:lang w:bidi="ne-NP"/>
                <w14:ligatures w14:val="none"/>
              </w:rPr>
            </w:pPr>
            <w:r w:rsidRPr="00574B83">
              <w:rPr>
                <w:rFonts w:ascii="Calibri" w:eastAsia="Times New Roman" w:hAnsi="Calibri"/>
                <w:color w:val="000000"/>
                <w:kern w:val="0"/>
                <w:sz w:val="24"/>
                <w:szCs w:val="24"/>
                <w:lang w:bidi="ne-NP"/>
                <w14:ligatures w14:val="none"/>
              </w:rPr>
              <w:t>2</w:t>
            </w:r>
          </w:p>
        </w:tc>
        <w:tc>
          <w:tcPr>
            <w:tcW w:w="2907" w:type="pct"/>
            <w:hideMark/>
          </w:tcPr>
          <w:p w14:paraId="0298F1D0" w14:textId="77777777" w:rsidR="00574B83" w:rsidRPr="00574B83" w:rsidRDefault="00574B83" w:rsidP="001812A0">
            <w:pPr>
              <w:spacing w:after="160" w:line="259" w:lineRule="auto"/>
              <w:jc w:val="both"/>
              <w:rPr>
                <w:rFonts w:ascii="Calibri" w:eastAsia="Times New Roman" w:hAnsi="Calibri"/>
                <w:color w:val="000000"/>
                <w:kern w:val="0"/>
                <w:sz w:val="24"/>
                <w:szCs w:val="24"/>
                <w:lang w:bidi="ne-NP"/>
                <w14:ligatures w14:val="none"/>
              </w:rPr>
            </w:pPr>
            <w:r w:rsidRPr="00574B83">
              <w:rPr>
                <w:rFonts w:ascii="Calibri" w:eastAsia="Times New Roman" w:hAnsi="Calibri"/>
                <w:color w:val="000000"/>
                <w:kern w:val="0"/>
                <w:sz w:val="24"/>
                <w:szCs w:val="24"/>
                <w:lang w:bidi="ne-NP"/>
                <w14:ligatures w14:val="none"/>
              </w:rPr>
              <w:t>Bitumen</w:t>
            </w:r>
          </w:p>
        </w:tc>
        <w:tc>
          <w:tcPr>
            <w:tcW w:w="1376" w:type="pct"/>
            <w:hideMark/>
          </w:tcPr>
          <w:p w14:paraId="4081655F" w14:textId="77777777" w:rsidR="00574B83" w:rsidRPr="00574B83" w:rsidRDefault="00574B83" w:rsidP="001812A0">
            <w:pPr>
              <w:spacing w:after="160" w:line="259" w:lineRule="auto"/>
              <w:jc w:val="both"/>
              <w:rPr>
                <w:rFonts w:ascii="Calibri" w:eastAsia="Times New Roman" w:hAnsi="Calibri"/>
                <w:color w:val="000000"/>
                <w:kern w:val="0"/>
                <w:sz w:val="24"/>
                <w:szCs w:val="24"/>
                <w:lang w:bidi="ne-NP"/>
                <w14:ligatures w14:val="none"/>
              </w:rPr>
            </w:pPr>
            <w:r w:rsidRPr="00574B83">
              <w:rPr>
                <w:rFonts w:ascii="Calibri" w:eastAsia="Times New Roman" w:hAnsi="Calibri"/>
                <w:color w:val="000000"/>
                <w:kern w:val="0"/>
                <w:sz w:val="24"/>
                <w:szCs w:val="24"/>
                <w:lang w:bidi="ne-NP"/>
                <w14:ligatures w14:val="none"/>
              </w:rPr>
              <w:t>4.30</w:t>
            </w:r>
          </w:p>
        </w:tc>
      </w:tr>
      <w:tr w:rsidR="00574B83" w:rsidRPr="00574B83" w14:paraId="624CFD94" w14:textId="77777777" w:rsidTr="001812A0">
        <w:tc>
          <w:tcPr>
            <w:tcW w:w="717" w:type="pct"/>
            <w:hideMark/>
          </w:tcPr>
          <w:p w14:paraId="7F310975" w14:textId="77777777" w:rsidR="00574B83" w:rsidRPr="00574B83" w:rsidRDefault="00574B83" w:rsidP="001812A0">
            <w:pPr>
              <w:spacing w:after="160" w:line="259" w:lineRule="auto"/>
              <w:jc w:val="both"/>
              <w:rPr>
                <w:rFonts w:ascii="Calibri" w:eastAsia="Times New Roman" w:hAnsi="Calibri"/>
                <w:color w:val="000000"/>
                <w:kern w:val="0"/>
                <w:sz w:val="24"/>
                <w:szCs w:val="24"/>
                <w:lang w:bidi="ne-NP"/>
                <w14:ligatures w14:val="none"/>
              </w:rPr>
            </w:pPr>
            <w:r w:rsidRPr="00574B83">
              <w:rPr>
                <w:rFonts w:ascii="Calibri" w:eastAsia="Times New Roman" w:hAnsi="Calibri"/>
                <w:color w:val="000000"/>
                <w:kern w:val="0"/>
                <w:sz w:val="24"/>
                <w:szCs w:val="24"/>
                <w:lang w:bidi="ne-NP"/>
                <w14:ligatures w14:val="none"/>
              </w:rPr>
              <w:t>3</w:t>
            </w:r>
          </w:p>
        </w:tc>
        <w:tc>
          <w:tcPr>
            <w:tcW w:w="2907" w:type="pct"/>
            <w:hideMark/>
          </w:tcPr>
          <w:p w14:paraId="1744BE0D" w14:textId="77777777" w:rsidR="00574B83" w:rsidRPr="00574B83" w:rsidRDefault="00574B83" w:rsidP="001812A0">
            <w:pPr>
              <w:spacing w:after="160" w:line="259" w:lineRule="auto"/>
              <w:jc w:val="both"/>
              <w:rPr>
                <w:rFonts w:ascii="Calibri" w:eastAsia="Times New Roman" w:hAnsi="Calibri"/>
                <w:color w:val="000000"/>
                <w:kern w:val="0"/>
                <w:sz w:val="24"/>
                <w:szCs w:val="24"/>
                <w:lang w:bidi="ne-NP"/>
                <w14:ligatures w14:val="none"/>
              </w:rPr>
            </w:pPr>
            <w:r w:rsidRPr="00574B83">
              <w:rPr>
                <w:rFonts w:ascii="Calibri" w:eastAsia="Times New Roman" w:hAnsi="Calibri"/>
                <w:color w:val="000000"/>
                <w:kern w:val="0"/>
                <w:sz w:val="24"/>
                <w:szCs w:val="24"/>
                <w:lang w:bidi="ne-NP"/>
                <w14:ligatures w14:val="none"/>
              </w:rPr>
              <w:t>Brick</w:t>
            </w:r>
          </w:p>
        </w:tc>
        <w:tc>
          <w:tcPr>
            <w:tcW w:w="1376" w:type="pct"/>
            <w:hideMark/>
          </w:tcPr>
          <w:p w14:paraId="433BA59B" w14:textId="77777777" w:rsidR="00574B83" w:rsidRPr="00574B83" w:rsidRDefault="00574B83" w:rsidP="001812A0">
            <w:pPr>
              <w:spacing w:after="160" w:line="259" w:lineRule="auto"/>
              <w:jc w:val="both"/>
              <w:rPr>
                <w:rFonts w:ascii="Calibri" w:eastAsia="Times New Roman" w:hAnsi="Calibri"/>
                <w:color w:val="000000"/>
                <w:kern w:val="0"/>
                <w:sz w:val="24"/>
                <w:szCs w:val="24"/>
                <w:lang w:bidi="ne-NP"/>
                <w14:ligatures w14:val="none"/>
              </w:rPr>
            </w:pPr>
            <w:r w:rsidRPr="00574B83">
              <w:rPr>
                <w:rFonts w:ascii="Calibri" w:eastAsia="Times New Roman" w:hAnsi="Calibri"/>
                <w:color w:val="000000"/>
                <w:kern w:val="0"/>
                <w:sz w:val="24"/>
                <w:szCs w:val="24"/>
                <w:lang w:bidi="ne-NP"/>
                <w14:ligatures w14:val="none"/>
              </w:rPr>
              <w:t>2.71</w:t>
            </w:r>
          </w:p>
        </w:tc>
      </w:tr>
      <w:tr w:rsidR="00574B83" w:rsidRPr="00574B83" w14:paraId="0892D488" w14:textId="77777777" w:rsidTr="001812A0">
        <w:tc>
          <w:tcPr>
            <w:tcW w:w="717" w:type="pct"/>
            <w:hideMark/>
          </w:tcPr>
          <w:p w14:paraId="3EA9018A" w14:textId="77777777" w:rsidR="00574B83" w:rsidRPr="00574B83" w:rsidRDefault="00574B83" w:rsidP="001812A0">
            <w:pPr>
              <w:spacing w:after="160" w:line="259" w:lineRule="auto"/>
              <w:jc w:val="both"/>
              <w:rPr>
                <w:rFonts w:ascii="Calibri" w:eastAsia="Times New Roman" w:hAnsi="Calibri"/>
                <w:color w:val="000000"/>
                <w:kern w:val="0"/>
                <w:sz w:val="24"/>
                <w:szCs w:val="24"/>
                <w:lang w:bidi="ne-NP"/>
                <w14:ligatures w14:val="none"/>
              </w:rPr>
            </w:pPr>
            <w:r w:rsidRPr="00574B83">
              <w:rPr>
                <w:rFonts w:ascii="Calibri" w:eastAsia="Times New Roman" w:hAnsi="Calibri"/>
                <w:color w:val="000000"/>
                <w:kern w:val="0"/>
                <w:sz w:val="24"/>
                <w:szCs w:val="24"/>
                <w:lang w:bidi="ne-NP"/>
                <w14:ligatures w14:val="none"/>
              </w:rPr>
              <w:t>4</w:t>
            </w:r>
          </w:p>
        </w:tc>
        <w:tc>
          <w:tcPr>
            <w:tcW w:w="2907" w:type="pct"/>
            <w:hideMark/>
          </w:tcPr>
          <w:p w14:paraId="74ACDEC0" w14:textId="77777777" w:rsidR="00574B83" w:rsidRPr="00574B83" w:rsidRDefault="00574B83" w:rsidP="001812A0">
            <w:pPr>
              <w:spacing w:after="160" w:line="259" w:lineRule="auto"/>
              <w:jc w:val="both"/>
              <w:rPr>
                <w:rFonts w:ascii="Calibri" w:eastAsia="Times New Roman" w:hAnsi="Calibri"/>
                <w:color w:val="000000"/>
                <w:kern w:val="0"/>
                <w:sz w:val="24"/>
                <w:szCs w:val="24"/>
                <w:lang w:bidi="ne-NP"/>
                <w14:ligatures w14:val="none"/>
              </w:rPr>
            </w:pPr>
            <w:r w:rsidRPr="00574B83">
              <w:rPr>
                <w:rFonts w:ascii="Calibri" w:eastAsia="Times New Roman" w:hAnsi="Calibri"/>
                <w:color w:val="000000"/>
                <w:kern w:val="0"/>
                <w:sz w:val="24"/>
                <w:szCs w:val="24"/>
                <w:lang w:bidi="ne-NP"/>
                <w14:ligatures w14:val="none"/>
              </w:rPr>
              <w:t>Marble</w:t>
            </w:r>
          </w:p>
        </w:tc>
        <w:tc>
          <w:tcPr>
            <w:tcW w:w="1376" w:type="pct"/>
            <w:hideMark/>
          </w:tcPr>
          <w:p w14:paraId="26EA60DD" w14:textId="77777777" w:rsidR="00574B83" w:rsidRPr="00574B83" w:rsidRDefault="00574B83" w:rsidP="001812A0">
            <w:pPr>
              <w:spacing w:after="160" w:line="259" w:lineRule="auto"/>
              <w:jc w:val="both"/>
              <w:rPr>
                <w:rFonts w:ascii="Calibri" w:eastAsia="Times New Roman" w:hAnsi="Calibri"/>
                <w:color w:val="000000"/>
                <w:kern w:val="0"/>
                <w:sz w:val="24"/>
                <w:szCs w:val="24"/>
                <w:lang w:bidi="ne-NP"/>
                <w14:ligatures w14:val="none"/>
              </w:rPr>
            </w:pPr>
            <w:r w:rsidRPr="00574B83">
              <w:rPr>
                <w:rFonts w:ascii="Calibri" w:eastAsia="Times New Roman" w:hAnsi="Calibri"/>
                <w:color w:val="000000"/>
                <w:kern w:val="0"/>
                <w:sz w:val="24"/>
                <w:szCs w:val="24"/>
                <w:lang w:bidi="ne-NP"/>
                <w14:ligatures w14:val="none"/>
              </w:rPr>
              <w:t>1.37</w:t>
            </w:r>
          </w:p>
        </w:tc>
      </w:tr>
      <w:tr w:rsidR="00574B83" w:rsidRPr="00574B83" w14:paraId="0B033F1D" w14:textId="77777777" w:rsidTr="001812A0">
        <w:tc>
          <w:tcPr>
            <w:tcW w:w="717" w:type="pct"/>
            <w:hideMark/>
          </w:tcPr>
          <w:p w14:paraId="03F01B82" w14:textId="77777777" w:rsidR="00574B83" w:rsidRPr="00574B83" w:rsidRDefault="00574B83" w:rsidP="001812A0">
            <w:pPr>
              <w:spacing w:after="160" w:line="259" w:lineRule="auto"/>
              <w:jc w:val="both"/>
              <w:rPr>
                <w:rFonts w:ascii="Calibri" w:eastAsia="Times New Roman" w:hAnsi="Calibri"/>
                <w:color w:val="000000"/>
                <w:kern w:val="0"/>
                <w:sz w:val="24"/>
                <w:szCs w:val="24"/>
                <w:lang w:bidi="ne-NP"/>
                <w14:ligatures w14:val="none"/>
              </w:rPr>
            </w:pPr>
            <w:r w:rsidRPr="00574B83">
              <w:rPr>
                <w:rFonts w:ascii="Calibri" w:eastAsia="Times New Roman" w:hAnsi="Calibri"/>
                <w:color w:val="000000"/>
                <w:kern w:val="0"/>
                <w:sz w:val="24"/>
                <w:szCs w:val="24"/>
                <w:lang w:bidi="ne-NP"/>
                <w14:ligatures w14:val="none"/>
              </w:rPr>
              <w:t>5</w:t>
            </w:r>
          </w:p>
        </w:tc>
        <w:tc>
          <w:tcPr>
            <w:tcW w:w="2907" w:type="pct"/>
            <w:hideMark/>
          </w:tcPr>
          <w:p w14:paraId="2D5C0340" w14:textId="77777777" w:rsidR="00574B83" w:rsidRPr="00574B83" w:rsidRDefault="00574B83" w:rsidP="001812A0">
            <w:pPr>
              <w:spacing w:after="160" w:line="259" w:lineRule="auto"/>
              <w:jc w:val="both"/>
              <w:rPr>
                <w:rFonts w:ascii="Calibri" w:eastAsia="Times New Roman" w:hAnsi="Calibri"/>
                <w:color w:val="000000"/>
                <w:kern w:val="0"/>
                <w:sz w:val="24"/>
                <w:szCs w:val="24"/>
                <w:lang w:bidi="ne-NP"/>
                <w14:ligatures w14:val="none"/>
              </w:rPr>
            </w:pPr>
            <w:r w:rsidRPr="00574B83">
              <w:rPr>
                <w:rFonts w:ascii="Calibri" w:eastAsia="Times New Roman" w:hAnsi="Calibri"/>
                <w:color w:val="000000"/>
                <w:kern w:val="0"/>
                <w:sz w:val="24"/>
                <w:szCs w:val="24"/>
                <w:lang w:bidi="ne-NP"/>
                <w14:ligatures w14:val="none"/>
              </w:rPr>
              <w:t>GI pipe fittings</w:t>
            </w:r>
          </w:p>
        </w:tc>
        <w:tc>
          <w:tcPr>
            <w:tcW w:w="1376" w:type="pct"/>
            <w:hideMark/>
          </w:tcPr>
          <w:p w14:paraId="3DF56A7E" w14:textId="77777777" w:rsidR="00574B83" w:rsidRPr="00574B83" w:rsidRDefault="00574B83" w:rsidP="001812A0">
            <w:pPr>
              <w:spacing w:after="160" w:line="259" w:lineRule="auto"/>
              <w:jc w:val="both"/>
              <w:rPr>
                <w:rFonts w:ascii="Calibri" w:eastAsia="Times New Roman" w:hAnsi="Calibri"/>
                <w:color w:val="000000"/>
                <w:kern w:val="0"/>
                <w:sz w:val="24"/>
                <w:szCs w:val="24"/>
                <w:lang w:bidi="ne-NP"/>
                <w14:ligatures w14:val="none"/>
              </w:rPr>
            </w:pPr>
            <w:r w:rsidRPr="00574B83">
              <w:rPr>
                <w:rFonts w:ascii="Calibri" w:eastAsia="Times New Roman" w:hAnsi="Calibri"/>
                <w:color w:val="000000"/>
                <w:kern w:val="0"/>
                <w:sz w:val="24"/>
                <w:szCs w:val="24"/>
                <w:lang w:bidi="ne-NP"/>
                <w14:ligatures w14:val="none"/>
              </w:rPr>
              <w:t>1.24</w:t>
            </w:r>
          </w:p>
        </w:tc>
      </w:tr>
    </w:tbl>
    <w:p w14:paraId="1698FF20" w14:textId="77777777" w:rsidR="00574B83" w:rsidRPr="00574B83" w:rsidRDefault="00574B83" w:rsidP="001812A0">
      <w:pPr>
        <w:jc w:val="both"/>
        <w:rPr>
          <w:rFonts w:ascii="Calibri" w:eastAsia="Times New Roman" w:hAnsi="Calibri"/>
          <w:b/>
          <w:bCs/>
          <w:color w:val="000000"/>
          <w:kern w:val="0"/>
          <w:sz w:val="24"/>
          <w:szCs w:val="24"/>
          <w:lang w:bidi="ne-NP"/>
          <w14:ligatures w14:val="none"/>
        </w:rPr>
      </w:pPr>
      <w:r w:rsidRPr="00574B83">
        <w:rPr>
          <w:rFonts w:ascii="Calibri" w:eastAsia="Times New Roman" w:hAnsi="Calibri"/>
          <w:b/>
          <w:bCs/>
          <w:color w:val="000000"/>
          <w:kern w:val="0"/>
          <w:sz w:val="24"/>
          <w:szCs w:val="24"/>
          <w:lang w:bidi="ne-NP"/>
          <w14:ligatures w14:val="none"/>
        </w:rPr>
        <w:t>(b) Materials with Negative Price Growth (Price Decrease)</w:t>
      </w:r>
    </w:p>
    <w:tbl>
      <w:tblPr>
        <w:tblStyle w:val="TableGrid"/>
        <w:tblW w:w="5000" w:type="pct"/>
        <w:tblLook w:val="04A0" w:firstRow="1" w:lastRow="0" w:firstColumn="1" w:lastColumn="0" w:noHBand="0" w:noVBand="1"/>
      </w:tblPr>
      <w:tblGrid>
        <w:gridCol w:w="1341"/>
        <w:gridCol w:w="5436"/>
        <w:gridCol w:w="2573"/>
      </w:tblGrid>
      <w:tr w:rsidR="00574B83" w:rsidRPr="00574B83" w14:paraId="564E858E" w14:textId="77777777" w:rsidTr="00117D23">
        <w:tc>
          <w:tcPr>
            <w:tcW w:w="717" w:type="pct"/>
            <w:shd w:val="clear" w:color="auto" w:fill="DEEAF6" w:themeFill="accent5" w:themeFillTint="33"/>
            <w:hideMark/>
          </w:tcPr>
          <w:p w14:paraId="06801BF6" w14:textId="77777777" w:rsidR="00574B83" w:rsidRPr="00574B83" w:rsidRDefault="00574B83" w:rsidP="00117D23">
            <w:pPr>
              <w:spacing w:after="160" w:line="259" w:lineRule="auto"/>
              <w:jc w:val="center"/>
              <w:rPr>
                <w:rFonts w:ascii="Calibri" w:eastAsia="Times New Roman" w:hAnsi="Calibri"/>
                <w:b/>
                <w:bCs/>
                <w:color w:val="000000"/>
                <w:kern w:val="0"/>
                <w:sz w:val="24"/>
                <w:szCs w:val="24"/>
                <w:lang w:bidi="ne-NP"/>
                <w14:ligatures w14:val="none"/>
              </w:rPr>
            </w:pPr>
            <w:r w:rsidRPr="00574B83">
              <w:rPr>
                <w:rFonts w:ascii="Calibri" w:eastAsia="Times New Roman" w:hAnsi="Calibri"/>
                <w:b/>
                <w:bCs/>
                <w:color w:val="000000"/>
                <w:kern w:val="0"/>
                <w:sz w:val="24"/>
                <w:szCs w:val="24"/>
                <w:lang w:bidi="ne-NP"/>
                <w14:ligatures w14:val="none"/>
              </w:rPr>
              <w:t>S.N.</w:t>
            </w:r>
          </w:p>
        </w:tc>
        <w:tc>
          <w:tcPr>
            <w:tcW w:w="2907" w:type="pct"/>
            <w:shd w:val="clear" w:color="auto" w:fill="DEEAF6" w:themeFill="accent5" w:themeFillTint="33"/>
            <w:hideMark/>
          </w:tcPr>
          <w:p w14:paraId="7BBD5BB8" w14:textId="77777777" w:rsidR="00574B83" w:rsidRPr="00574B83" w:rsidRDefault="00574B83" w:rsidP="00117D23">
            <w:pPr>
              <w:spacing w:after="160" w:line="259" w:lineRule="auto"/>
              <w:jc w:val="center"/>
              <w:rPr>
                <w:rFonts w:ascii="Calibri" w:eastAsia="Times New Roman" w:hAnsi="Calibri"/>
                <w:b/>
                <w:bCs/>
                <w:color w:val="000000"/>
                <w:kern w:val="0"/>
                <w:sz w:val="24"/>
                <w:szCs w:val="24"/>
                <w:lang w:bidi="ne-NP"/>
                <w14:ligatures w14:val="none"/>
              </w:rPr>
            </w:pPr>
            <w:r w:rsidRPr="00574B83">
              <w:rPr>
                <w:rFonts w:ascii="Calibri" w:eastAsia="Times New Roman" w:hAnsi="Calibri"/>
                <w:b/>
                <w:bCs/>
                <w:color w:val="000000"/>
                <w:kern w:val="0"/>
                <w:sz w:val="24"/>
                <w:szCs w:val="24"/>
                <w:lang w:bidi="ne-NP"/>
                <w14:ligatures w14:val="none"/>
              </w:rPr>
              <w:t>Construction Materials</w:t>
            </w:r>
          </w:p>
        </w:tc>
        <w:tc>
          <w:tcPr>
            <w:tcW w:w="1376" w:type="pct"/>
            <w:shd w:val="clear" w:color="auto" w:fill="DEEAF6" w:themeFill="accent5" w:themeFillTint="33"/>
            <w:hideMark/>
          </w:tcPr>
          <w:p w14:paraId="2A749A41" w14:textId="77777777" w:rsidR="00574B83" w:rsidRPr="00574B83" w:rsidRDefault="00574B83" w:rsidP="00117D23">
            <w:pPr>
              <w:spacing w:after="160" w:line="259" w:lineRule="auto"/>
              <w:jc w:val="center"/>
              <w:rPr>
                <w:rFonts w:ascii="Calibri" w:eastAsia="Times New Roman" w:hAnsi="Calibri"/>
                <w:b/>
                <w:bCs/>
                <w:color w:val="000000"/>
                <w:kern w:val="0"/>
                <w:sz w:val="24"/>
                <w:szCs w:val="24"/>
                <w:lang w:bidi="ne-NP"/>
                <w14:ligatures w14:val="none"/>
              </w:rPr>
            </w:pPr>
            <w:r w:rsidRPr="00574B83">
              <w:rPr>
                <w:rFonts w:ascii="Calibri" w:eastAsia="Times New Roman" w:hAnsi="Calibri"/>
                <w:b/>
                <w:bCs/>
                <w:color w:val="000000"/>
                <w:kern w:val="0"/>
                <w:sz w:val="24"/>
                <w:szCs w:val="24"/>
                <w:lang w:bidi="ne-NP"/>
                <w14:ligatures w14:val="none"/>
              </w:rPr>
              <w:t>% Change</w:t>
            </w:r>
          </w:p>
        </w:tc>
      </w:tr>
      <w:tr w:rsidR="00574B83" w:rsidRPr="00574B83" w14:paraId="1F947338" w14:textId="77777777" w:rsidTr="001812A0">
        <w:tc>
          <w:tcPr>
            <w:tcW w:w="717" w:type="pct"/>
            <w:hideMark/>
          </w:tcPr>
          <w:p w14:paraId="1D667F8A" w14:textId="77777777" w:rsidR="00574B83" w:rsidRPr="00574B83" w:rsidRDefault="00574B83" w:rsidP="001812A0">
            <w:pPr>
              <w:spacing w:after="160" w:line="259" w:lineRule="auto"/>
              <w:jc w:val="both"/>
              <w:rPr>
                <w:rFonts w:ascii="Calibri" w:eastAsia="Times New Roman" w:hAnsi="Calibri"/>
                <w:color w:val="000000"/>
                <w:kern w:val="0"/>
                <w:sz w:val="24"/>
                <w:szCs w:val="24"/>
                <w:lang w:bidi="ne-NP"/>
                <w14:ligatures w14:val="none"/>
              </w:rPr>
            </w:pPr>
            <w:r w:rsidRPr="00574B83">
              <w:rPr>
                <w:rFonts w:ascii="Calibri" w:eastAsia="Times New Roman" w:hAnsi="Calibri"/>
                <w:color w:val="000000"/>
                <w:kern w:val="0"/>
                <w:sz w:val="24"/>
                <w:szCs w:val="24"/>
                <w:lang w:bidi="ne-NP"/>
                <w14:ligatures w14:val="none"/>
              </w:rPr>
              <w:t>1</w:t>
            </w:r>
          </w:p>
        </w:tc>
        <w:tc>
          <w:tcPr>
            <w:tcW w:w="2907" w:type="pct"/>
            <w:hideMark/>
          </w:tcPr>
          <w:p w14:paraId="00379AA4" w14:textId="77777777" w:rsidR="00574B83" w:rsidRPr="00574B83" w:rsidRDefault="00574B83" w:rsidP="001812A0">
            <w:pPr>
              <w:spacing w:after="160" w:line="259" w:lineRule="auto"/>
              <w:jc w:val="both"/>
              <w:rPr>
                <w:rFonts w:ascii="Calibri" w:eastAsia="Times New Roman" w:hAnsi="Calibri"/>
                <w:color w:val="000000"/>
                <w:kern w:val="0"/>
                <w:sz w:val="24"/>
                <w:szCs w:val="24"/>
                <w:lang w:bidi="ne-NP"/>
                <w14:ligatures w14:val="none"/>
              </w:rPr>
            </w:pPr>
            <w:r w:rsidRPr="00574B83">
              <w:rPr>
                <w:rFonts w:ascii="Calibri" w:eastAsia="Times New Roman" w:hAnsi="Calibri"/>
                <w:color w:val="000000"/>
                <w:kern w:val="0"/>
                <w:sz w:val="24"/>
                <w:szCs w:val="24"/>
                <w:lang w:bidi="ne-NP"/>
                <w14:ligatures w14:val="none"/>
              </w:rPr>
              <w:t>Gabion wire</w:t>
            </w:r>
          </w:p>
        </w:tc>
        <w:tc>
          <w:tcPr>
            <w:tcW w:w="1376" w:type="pct"/>
            <w:hideMark/>
          </w:tcPr>
          <w:p w14:paraId="70344052" w14:textId="77777777" w:rsidR="00574B83" w:rsidRPr="00574B83" w:rsidRDefault="00574B83" w:rsidP="001812A0">
            <w:pPr>
              <w:spacing w:after="160" w:line="259" w:lineRule="auto"/>
              <w:jc w:val="both"/>
              <w:rPr>
                <w:rFonts w:ascii="Calibri" w:eastAsia="Times New Roman" w:hAnsi="Calibri"/>
                <w:color w:val="000000"/>
                <w:kern w:val="0"/>
                <w:sz w:val="24"/>
                <w:szCs w:val="24"/>
                <w:lang w:bidi="ne-NP"/>
                <w14:ligatures w14:val="none"/>
              </w:rPr>
            </w:pPr>
            <w:r w:rsidRPr="00574B83">
              <w:rPr>
                <w:rFonts w:ascii="Calibri" w:eastAsia="Times New Roman" w:hAnsi="Calibri"/>
                <w:color w:val="000000"/>
                <w:kern w:val="0"/>
                <w:sz w:val="24"/>
                <w:szCs w:val="24"/>
                <w:lang w:bidi="ne-NP"/>
                <w14:ligatures w14:val="none"/>
              </w:rPr>
              <w:t>-4.68</w:t>
            </w:r>
          </w:p>
        </w:tc>
      </w:tr>
      <w:tr w:rsidR="00574B83" w:rsidRPr="00574B83" w14:paraId="5866E006" w14:textId="77777777" w:rsidTr="001812A0">
        <w:tc>
          <w:tcPr>
            <w:tcW w:w="717" w:type="pct"/>
            <w:hideMark/>
          </w:tcPr>
          <w:p w14:paraId="1D14DCB9" w14:textId="77777777" w:rsidR="00574B83" w:rsidRPr="00574B83" w:rsidRDefault="00574B83" w:rsidP="001812A0">
            <w:pPr>
              <w:spacing w:after="160" w:line="259" w:lineRule="auto"/>
              <w:jc w:val="both"/>
              <w:rPr>
                <w:rFonts w:ascii="Calibri" w:eastAsia="Times New Roman" w:hAnsi="Calibri"/>
                <w:color w:val="000000"/>
                <w:kern w:val="0"/>
                <w:sz w:val="24"/>
                <w:szCs w:val="24"/>
                <w:lang w:bidi="ne-NP"/>
                <w14:ligatures w14:val="none"/>
              </w:rPr>
            </w:pPr>
            <w:r w:rsidRPr="00574B83">
              <w:rPr>
                <w:rFonts w:ascii="Calibri" w:eastAsia="Times New Roman" w:hAnsi="Calibri"/>
                <w:color w:val="000000"/>
                <w:kern w:val="0"/>
                <w:sz w:val="24"/>
                <w:szCs w:val="24"/>
                <w:lang w:bidi="ne-NP"/>
                <w14:ligatures w14:val="none"/>
              </w:rPr>
              <w:t>2</w:t>
            </w:r>
          </w:p>
        </w:tc>
        <w:tc>
          <w:tcPr>
            <w:tcW w:w="2907" w:type="pct"/>
            <w:hideMark/>
          </w:tcPr>
          <w:p w14:paraId="44647395" w14:textId="77777777" w:rsidR="00574B83" w:rsidRPr="00574B83" w:rsidRDefault="00574B83" w:rsidP="001812A0">
            <w:pPr>
              <w:spacing w:after="160" w:line="259" w:lineRule="auto"/>
              <w:jc w:val="both"/>
              <w:rPr>
                <w:rFonts w:ascii="Calibri" w:eastAsia="Times New Roman" w:hAnsi="Calibri"/>
                <w:color w:val="000000"/>
                <w:kern w:val="0"/>
                <w:sz w:val="24"/>
                <w:szCs w:val="24"/>
                <w:lang w:bidi="ne-NP"/>
                <w14:ligatures w14:val="none"/>
              </w:rPr>
            </w:pPr>
            <w:r w:rsidRPr="00574B83">
              <w:rPr>
                <w:rFonts w:ascii="Calibri" w:eastAsia="Times New Roman" w:hAnsi="Calibri"/>
                <w:color w:val="000000"/>
                <w:kern w:val="0"/>
                <w:sz w:val="24"/>
                <w:szCs w:val="24"/>
                <w:lang w:bidi="ne-NP"/>
                <w14:ligatures w14:val="none"/>
              </w:rPr>
              <w:t>Hume pipe</w:t>
            </w:r>
          </w:p>
        </w:tc>
        <w:tc>
          <w:tcPr>
            <w:tcW w:w="1376" w:type="pct"/>
            <w:hideMark/>
          </w:tcPr>
          <w:p w14:paraId="5CB2F4D1" w14:textId="77777777" w:rsidR="00574B83" w:rsidRPr="00574B83" w:rsidRDefault="00574B83" w:rsidP="001812A0">
            <w:pPr>
              <w:spacing w:after="160" w:line="259" w:lineRule="auto"/>
              <w:jc w:val="both"/>
              <w:rPr>
                <w:rFonts w:ascii="Calibri" w:eastAsia="Times New Roman" w:hAnsi="Calibri"/>
                <w:color w:val="000000"/>
                <w:kern w:val="0"/>
                <w:sz w:val="24"/>
                <w:szCs w:val="24"/>
                <w:lang w:bidi="ne-NP"/>
                <w14:ligatures w14:val="none"/>
              </w:rPr>
            </w:pPr>
            <w:r w:rsidRPr="00574B83">
              <w:rPr>
                <w:rFonts w:ascii="Calibri" w:eastAsia="Times New Roman" w:hAnsi="Calibri"/>
                <w:color w:val="000000"/>
                <w:kern w:val="0"/>
                <w:sz w:val="24"/>
                <w:szCs w:val="24"/>
                <w:lang w:bidi="ne-NP"/>
                <w14:ligatures w14:val="none"/>
              </w:rPr>
              <w:t>-3.37</w:t>
            </w:r>
          </w:p>
        </w:tc>
      </w:tr>
      <w:tr w:rsidR="00574B83" w:rsidRPr="00574B83" w14:paraId="02B8189B" w14:textId="77777777" w:rsidTr="001812A0">
        <w:tc>
          <w:tcPr>
            <w:tcW w:w="717" w:type="pct"/>
            <w:hideMark/>
          </w:tcPr>
          <w:p w14:paraId="7DAD27CF" w14:textId="77777777" w:rsidR="00574B83" w:rsidRPr="00574B83" w:rsidRDefault="00574B83" w:rsidP="001812A0">
            <w:pPr>
              <w:spacing w:after="160" w:line="259" w:lineRule="auto"/>
              <w:jc w:val="both"/>
              <w:rPr>
                <w:rFonts w:ascii="Calibri" w:eastAsia="Times New Roman" w:hAnsi="Calibri"/>
                <w:color w:val="000000"/>
                <w:kern w:val="0"/>
                <w:sz w:val="24"/>
                <w:szCs w:val="24"/>
                <w:lang w:bidi="ne-NP"/>
                <w14:ligatures w14:val="none"/>
              </w:rPr>
            </w:pPr>
            <w:r w:rsidRPr="00574B83">
              <w:rPr>
                <w:rFonts w:ascii="Calibri" w:eastAsia="Times New Roman" w:hAnsi="Calibri"/>
                <w:color w:val="000000"/>
                <w:kern w:val="0"/>
                <w:sz w:val="24"/>
                <w:szCs w:val="24"/>
                <w:lang w:bidi="ne-NP"/>
                <w14:ligatures w14:val="none"/>
              </w:rPr>
              <w:t>3</w:t>
            </w:r>
          </w:p>
        </w:tc>
        <w:tc>
          <w:tcPr>
            <w:tcW w:w="2907" w:type="pct"/>
            <w:hideMark/>
          </w:tcPr>
          <w:p w14:paraId="76DD2409" w14:textId="77777777" w:rsidR="00574B83" w:rsidRPr="00574B83" w:rsidRDefault="00574B83" w:rsidP="001812A0">
            <w:pPr>
              <w:spacing w:after="160" w:line="259" w:lineRule="auto"/>
              <w:jc w:val="both"/>
              <w:rPr>
                <w:rFonts w:ascii="Calibri" w:eastAsia="Times New Roman" w:hAnsi="Calibri"/>
                <w:color w:val="000000"/>
                <w:kern w:val="0"/>
                <w:sz w:val="24"/>
                <w:szCs w:val="24"/>
                <w:lang w:bidi="ne-NP"/>
                <w14:ligatures w14:val="none"/>
              </w:rPr>
            </w:pPr>
            <w:r w:rsidRPr="00574B83">
              <w:rPr>
                <w:rFonts w:ascii="Calibri" w:eastAsia="Times New Roman" w:hAnsi="Calibri"/>
                <w:color w:val="000000"/>
                <w:kern w:val="0"/>
                <w:sz w:val="24"/>
                <w:szCs w:val="24"/>
                <w:lang w:bidi="ne-NP"/>
                <w14:ligatures w14:val="none"/>
              </w:rPr>
              <w:t>Polythene pipe</w:t>
            </w:r>
          </w:p>
        </w:tc>
        <w:tc>
          <w:tcPr>
            <w:tcW w:w="1376" w:type="pct"/>
            <w:hideMark/>
          </w:tcPr>
          <w:p w14:paraId="1CBC6695" w14:textId="77777777" w:rsidR="00574B83" w:rsidRPr="00574B83" w:rsidRDefault="00574B83" w:rsidP="001812A0">
            <w:pPr>
              <w:spacing w:after="160" w:line="259" w:lineRule="auto"/>
              <w:jc w:val="both"/>
              <w:rPr>
                <w:rFonts w:ascii="Calibri" w:eastAsia="Times New Roman" w:hAnsi="Calibri"/>
                <w:color w:val="000000"/>
                <w:kern w:val="0"/>
                <w:sz w:val="24"/>
                <w:szCs w:val="24"/>
                <w:lang w:bidi="ne-NP"/>
                <w14:ligatures w14:val="none"/>
              </w:rPr>
            </w:pPr>
            <w:r w:rsidRPr="00574B83">
              <w:rPr>
                <w:rFonts w:ascii="Calibri" w:eastAsia="Times New Roman" w:hAnsi="Calibri"/>
                <w:color w:val="000000"/>
                <w:kern w:val="0"/>
                <w:sz w:val="24"/>
                <w:szCs w:val="24"/>
                <w:lang w:bidi="ne-NP"/>
                <w14:ligatures w14:val="none"/>
              </w:rPr>
              <w:t>-2.84</w:t>
            </w:r>
          </w:p>
        </w:tc>
      </w:tr>
      <w:tr w:rsidR="00574B83" w:rsidRPr="00574B83" w14:paraId="7EC36E4B" w14:textId="77777777" w:rsidTr="001812A0">
        <w:tc>
          <w:tcPr>
            <w:tcW w:w="717" w:type="pct"/>
            <w:hideMark/>
          </w:tcPr>
          <w:p w14:paraId="6B94A7CE" w14:textId="77777777" w:rsidR="00574B83" w:rsidRPr="00574B83" w:rsidRDefault="00574B83" w:rsidP="001812A0">
            <w:pPr>
              <w:spacing w:after="160" w:line="259" w:lineRule="auto"/>
              <w:jc w:val="both"/>
              <w:rPr>
                <w:rFonts w:ascii="Calibri" w:eastAsia="Times New Roman" w:hAnsi="Calibri"/>
                <w:color w:val="000000"/>
                <w:kern w:val="0"/>
                <w:sz w:val="24"/>
                <w:szCs w:val="24"/>
                <w:lang w:bidi="ne-NP"/>
                <w14:ligatures w14:val="none"/>
              </w:rPr>
            </w:pPr>
            <w:r w:rsidRPr="00574B83">
              <w:rPr>
                <w:rFonts w:ascii="Calibri" w:eastAsia="Times New Roman" w:hAnsi="Calibri"/>
                <w:color w:val="000000"/>
                <w:kern w:val="0"/>
                <w:sz w:val="24"/>
                <w:szCs w:val="24"/>
                <w:lang w:bidi="ne-NP"/>
                <w14:ligatures w14:val="none"/>
              </w:rPr>
              <w:t>4</w:t>
            </w:r>
          </w:p>
        </w:tc>
        <w:tc>
          <w:tcPr>
            <w:tcW w:w="2907" w:type="pct"/>
            <w:hideMark/>
          </w:tcPr>
          <w:p w14:paraId="40F67E34" w14:textId="199AE024" w:rsidR="00574B83" w:rsidRPr="00574B83" w:rsidRDefault="00F80CC2" w:rsidP="001812A0">
            <w:pPr>
              <w:spacing w:after="160" w:line="259" w:lineRule="auto"/>
              <w:jc w:val="both"/>
              <w:rPr>
                <w:rFonts w:ascii="Calibri" w:eastAsia="Times New Roman" w:hAnsi="Calibri"/>
                <w:color w:val="000000"/>
                <w:kern w:val="0"/>
                <w:sz w:val="24"/>
                <w:szCs w:val="24"/>
                <w:lang w:bidi="ne-NP"/>
                <w14:ligatures w14:val="none"/>
              </w:rPr>
            </w:pPr>
            <w:r>
              <w:rPr>
                <w:rFonts w:ascii="Calibri" w:eastAsia="Times New Roman" w:hAnsi="Calibri"/>
                <w:color w:val="000000"/>
                <w:kern w:val="0"/>
                <w:sz w:val="24"/>
                <w:szCs w:val="24"/>
                <w:lang w:bidi="ne-NP"/>
                <w14:ligatures w14:val="none"/>
              </w:rPr>
              <w:t>Concrete</w:t>
            </w:r>
          </w:p>
        </w:tc>
        <w:tc>
          <w:tcPr>
            <w:tcW w:w="1376" w:type="pct"/>
            <w:hideMark/>
          </w:tcPr>
          <w:p w14:paraId="4B545EBE" w14:textId="77777777" w:rsidR="00574B83" w:rsidRPr="00574B83" w:rsidRDefault="00574B83" w:rsidP="001812A0">
            <w:pPr>
              <w:spacing w:after="160" w:line="259" w:lineRule="auto"/>
              <w:jc w:val="both"/>
              <w:rPr>
                <w:rFonts w:ascii="Calibri" w:eastAsia="Times New Roman" w:hAnsi="Calibri"/>
                <w:color w:val="000000"/>
                <w:kern w:val="0"/>
                <w:sz w:val="24"/>
                <w:szCs w:val="24"/>
                <w:lang w:bidi="ne-NP"/>
                <w14:ligatures w14:val="none"/>
              </w:rPr>
            </w:pPr>
            <w:r w:rsidRPr="00574B83">
              <w:rPr>
                <w:rFonts w:ascii="Calibri" w:eastAsia="Times New Roman" w:hAnsi="Calibri"/>
                <w:color w:val="000000"/>
                <w:kern w:val="0"/>
                <w:sz w:val="24"/>
                <w:szCs w:val="24"/>
                <w:lang w:bidi="ne-NP"/>
                <w14:ligatures w14:val="none"/>
              </w:rPr>
              <w:t>-2.59</w:t>
            </w:r>
          </w:p>
        </w:tc>
      </w:tr>
      <w:tr w:rsidR="00574B83" w:rsidRPr="00574B83" w14:paraId="4D5AB0FC" w14:textId="77777777" w:rsidTr="001812A0">
        <w:tc>
          <w:tcPr>
            <w:tcW w:w="717" w:type="pct"/>
            <w:hideMark/>
          </w:tcPr>
          <w:p w14:paraId="2A6B3A32" w14:textId="77777777" w:rsidR="00574B83" w:rsidRPr="00574B83" w:rsidRDefault="00574B83" w:rsidP="001812A0">
            <w:pPr>
              <w:spacing w:after="160" w:line="259" w:lineRule="auto"/>
              <w:jc w:val="both"/>
              <w:rPr>
                <w:rFonts w:ascii="Calibri" w:eastAsia="Times New Roman" w:hAnsi="Calibri"/>
                <w:color w:val="000000"/>
                <w:kern w:val="0"/>
                <w:sz w:val="24"/>
                <w:szCs w:val="24"/>
                <w:lang w:bidi="ne-NP"/>
                <w14:ligatures w14:val="none"/>
              </w:rPr>
            </w:pPr>
            <w:r w:rsidRPr="00574B83">
              <w:rPr>
                <w:rFonts w:ascii="Calibri" w:eastAsia="Times New Roman" w:hAnsi="Calibri"/>
                <w:color w:val="000000"/>
                <w:kern w:val="0"/>
                <w:sz w:val="24"/>
                <w:szCs w:val="24"/>
                <w:lang w:bidi="ne-NP"/>
                <w14:ligatures w14:val="none"/>
              </w:rPr>
              <w:t>5</w:t>
            </w:r>
          </w:p>
        </w:tc>
        <w:tc>
          <w:tcPr>
            <w:tcW w:w="2907" w:type="pct"/>
            <w:hideMark/>
          </w:tcPr>
          <w:p w14:paraId="6EA448E2" w14:textId="7488BFB6" w:rsidR="00574B83" w:rsidRPr="00574B83" w:rsidRDefault="00F80CC2" w:rsidP="001812A0">
            <w:pPr>
              <w:spacing w:after="160" w:line="259" w:lineRule="auto"/>
              <w:jc w:val="both"/>
              <w:rPr>
                <w:rFonts w:ascii="Calibri" w:eastAsia="Times New Roman" w:hAnsi="Calibri"/>
                <w:color w:val="000000"/>
                <w:kern w:val="0"/>
                <w:sz w:val="24"/>
                <w:szCs w:val="24"/>
                <w:lang w:bidi="ne-NP"/>
                <w14:ligatures w14:val="none"/>
              </w:rPr>
            </w:pPr>
            <w:r>
              <w:rPr>
                <w:rFonts w:ascii="Calibri" w:eastAsia="Times New Roman" w:hAnsi="Calibri"/>
                <w:color w:val="000000"/>
                <w:kern w:val="0"/>
                <w:sz w:val="24"/>
                <w:szCs w:val="24"/>
                <w:lang w:bidi="ne-NP"/>
                <w14:ligatures w14:val="none"/>
              </w:rPr>
              <w:t>Iron rod</w:t>
            </w:r>
          </w:p>
        </w:tc>
        <w:tc>
          <w:tcPr>
            <w:tcW w:w="1376" w:type="pct"/>
            <w:hideMark/>
          </w:tcPr>
          <w:p w14:paraId="2F8CF333" w14:textId="6795D9E5" w:rsidR="00574B83" w:rsidRPr="00574B83" w:rsidRDefault="00574B83" w:rsidP="001812A0">
            <w:pPr>
              <w:spacing w:after="160" w:line="259" w:lineRule="auto"/>
              <w:jc w:val="both"/>
              <w:rPr>
                <w:rFonts w:ascii="Calibri" w:eastAsia="Times New Roman" w:hAnsi="Calibri"/>
                <w:color w:val="000000"/>
                <w:kern w:val="0"/>
                <w:sz w:val="24"/>
                <w:szCs w:val="24"/>
                <w:lang w:bidi="ne-NP"/>
                <w14:ligatures w14:val="none"/>
              </w:rPr>
            </w:pPr>
            <w:r w:rsidRPr="00574B83">
              <w:rPr>
                <w:rFonts w:ascii="Calibri" w:eastAsia="Times New Roman" w:hAnsi="Calibri"/>
                <w:color w:val="000000"/>
                <w:kern w:val="0"/>
                <w:sz w:val="24"/>
                <w:szCs w:val="24"/>
                <w:lang w:bidi="ne-NP"/>
                <w14:ligatures w14:val="none"/>
              </w:rPr>
              <w:t>-2.</w:t>
            </w:r>
            <w:r w:rsidR="00F80CC2">
              <w:rPr>
                <w:rFonts w:ascii="Calibri" w:eastAsia="Times New Roman" w:hAnsi="Calibri"/>
                <w:color w:val="000000"/>
                <w:kern w:val="0"/>
                <w:sz w:val="24"/>
                <w:szCs w:val="24"/>
                <w:lang w:bidi="ne-NP"/>
                <w14:ligatures w14:val="none"/>
              </w:rPr>
              <w:t>22</w:t>
            </w:r>
          </w:p>
        </w:tc>
      </w:tr>
    </w:tbl>
    <w:p w14:paraId="2B449C00" w14:textId="50C3DBF4" w:rsidR="00574B83" w:rsidRPr="00574B83" w:rsidRDefault="00574B83" w:rsidP="001812A0">
      <w:pPr>
        <w:jc w:val="both"/>
        <w:rPr>
          <w:rFonts w:ascii="Calibri" w:eastAsia="Times New Roman" w:hAnsi="Calibri"/>
          <w:color w:val="000000"/>
          <w:kern w:val="0"/>
          <w:sz w:val="24"/>
          <w:szCs w:val="24"/>
          <w:lang w:bidi="ne-NP"/>
          <w14:ligatures w14:val="none"/>
        </w:rPr>
      </w:pPr>
    </w:p>
    <w:p w14:paraId="109A6FF4" w14:textId="6EC8E009" w:rsidR="00527636" w:rsidRPr="00A93CF8" w:rsidRDefault="00574B83" w:rsidP="00527636">
      <w:pPr>
        <w:jc w:val="both"/>
        <w:rPr>
          <w:rFonts w:ascii="Calibri" w:eastAsia="Times New Roman" w:hAnsi="Calibri"/>
          <w:b/>
          <w:bCs/>
          <w:color w:val="000000"/>
          <w:kern w:val="0"/>
          <w:sz w:val="24"/>
          <w:szCs w:val="24"/>
          <w:lang w:bidi="ne-NP"/>
          <w14:ligatures w14:val="none"/>
        </w:rPr>
      </w:pPr>
      <w:r w:rsidRPr="00574B83">
        <w:rPr>
          <w:rFonts w:ascii="Calibri" w:eastAsia="Times New Roman" w:hAnsi="Calibri"/>
          <w:b/>
          <w:bCs/>
          <w:color w:val="000000"/>
          <w:kern w:val="0"/>
          <w:sz w:val="24"/>
          <w:szCs w:val="24"/>
          <w:lang w:bidi="ne-NP"/>
          <w14:ligatures w14:val="none"/>
        </w:rPr>
        <w:t>3. Year-on-Year (YoY) Analysis: Materials with Significant Price Changes</w:t>
      </w:r>
    </w:p>
    <w:p w14:paraId="422A2499" w14:textId="10166192" w:rsidR="00A93CF8" w:rsidRPr="00527636" w:rsidRDefault="00A93CF8" w:rsidP="00527636">
      <w:pPr>
        <w:jc w:val="both"/>
        <w:rPr>
          <w:rFonts w:ascii="Calibri" w:eastAsia="Times New Roman" w:hAnsi="Calibri"/>
          <w:color w:val="000000"/>
          <w:kern w:val="0"/>
          <w:sz w:val="24"/>
          <w:szCs w:val="24"/>
          <w:lang w:bidi="ne-NP"/>
          <w14:ligatures w14:val="none"/>
        </w:rPr>
      </w:pPr>
      <w:r w:rsidRPr="00A93CF8">
        <w:rPr>
          <w:rFonts w:ascii="Calibri" w:eastAsia="Times New Roman" w:hAnsi="Calibri"/>
          <w:color w:val="000000"/>
          <w:kern w:val="0"/>
          <w:sz w:val="24"/>
          <w:szCs w:val="24"/>
          <w:lang w:bidi="ne-NP"/>
          <w14:ligatures w14:val="none"/>
        </w:rPr>
        <w:lastRenderedPageBreak/>
        <w:t>Compared to the second quarter of FY 2081/82, price changes in FY 2082/83 show greater fluctuation.</w:t>
      </w:r>
    </w:p>
    <w:p w14:paraId="0FC5A97A" w14:textId="77777777" w:rsidR="00527636" w:rsidRPr="00527636" w:rsidRDefault="00527636" w:rsidP="00527636">
      <w:pPr>
        <w:jc w:val="both"/>
        <w:rPr>
          <w:rFonts w:ascii="Calibri" w:eastAsia="Times New Roman" w:hAnsi="Calibri"/>
          <w:color w:val="000000"/>
          <w:kern w:val="0"/>
          <w:sz w:val="24"/>
          <w:szCs w:val="24"/>
          <w:lang w:bidi="ne-NP"/>
          <w14:ligatures w14:val="none"/>
        </w:rPr>
      </w:pPr>
      <w:r w:rsidRPr="00527636">
        <w:rPr>
          <w:rFonts w:ascii="Calibri" w:eastAsia="Times New Roman" w:hAnsi="Calibri"/>
          <w:color w:val="000000"/>
          <w:kern w:val="0"/>
          <w:sz w:val="24"/>
          <w:szCs w:val="24"/>
          <w:lang w:bidi="ne-NP"/>
          <w14:ligatures w14:val="none"/>
        </w:rPr>
        <w:t>Significant increases were observed in electric wire (17.91%), followed by bricks (5.64%), GI pipe fittings (3.99%), GI ½ inch pipe (3.87%), and marble (3.21%), reflecting rising demand in key construction inputs.</w:t>
      </w:r>
    </w:p>
    <w:p w14:paraId="2D036BE3" w14:textId="77777777" w:rsidR="00527636" w:rsidRPr="00527636" w:rsidRDefault="00527636" w:rsidP="00527636">
      <w:pPr>
        <w:jc w:val="both"/>
        <w:rPr>
          <w:rFonts w:ascii="Calibri" w:eastAsia="Times New Roman" w:hAnsi="Calibri"/>
          <w:color w:val="000000"/>
          <w:kern w:val="0"/>
          <w:sz w:val="24"/>
          <w:szCs w:val="24"/>
          <w:lang w:bidi="ne-NP"/>
          <w14:ligatures w14:val="none"/>
        </w:rPr>
      </w:pPr>
      <w:r w:rsidRPr="00527636">
        <w:rPr>
          <w:rFonts w:ascii="Calibri" w:eastAsia="Times New Roman" w:hAnsi="Calibri"/>
          <w:color w:val="000000"/>
          <w:kern w:val="0"/>
          <w:sz w:val="24"/>
          <w:szCs w:val="24"/>
          <w:lang w:bidi="ne-NP"/>
          <w14:ligatures w14:val="none"/>
        </w:rPr>
        <w:t>Major decreases were recorded in Hume pipe (-15.34%), wood (-8.76%), bitumen (-7.45%), tile (-7.34%), and mud (-6.95%), indicating shifting market conditions or substitution effects.</w:t>
      </w:r>
    </w:p>
    <w:p w14:paraId="6CB36E13" w14:textId="77777777" w:rsidR="00574B83" w:rsidRPr="00574B83" w:rsidRDefault="00574B83" w:rsidP="001812A0">
      <w:pPr>
        <w:jc w:val="both"/>
        <w:rPr>
          <w:rFonts w:ascii="Calibri" w:eastAsia="Times New Roman" w:hAnsi="Calibri"/>
          <w:b/>
          <w:bCs/>
          <w:color w:val="000000"/>
          <w:kern w:val="0"/>
          <w:sz w:val="24"/>
          <w:szCs w:val="24"/>
          <w:lang w:bidi="ne-NP"/>
          <w14:ligatures w14:val="none"/>
        </w:rPr>
      </w:pPr>
      <w:r w:rsidRPr="00574B83">
        <w:rPr>
          <w:rFonts w:ascii="Calibri" w:eastAsia="Times New Roman" w:hAnsi="Calibri"/>
          <w:b/>
          <w:bCs/>
          <w:color w:val="000000"/>
          <w:kern w:val="0"/>
          <w:sz w:val="24"/>
          <w:szCs w:val="24"/>
          <w:lang w:bidi="ne-NP"/>
          <w14:ligatures w14:val="none"/>
        </w:rPr>
        <w:t>(a) Materials with High Price Increase</w:t>
      </w:r>
    </w:p>
    <w:tbl>
      <w:tblPr>
        <w:tblStyle w:val="TableGrid"/>
        <w:tblW w:w="5000" w:type="pct"/>
        <w:tblLook w:val="04A0" w:firstRow="1" w:lastRow="0" w:firstColumn="1" w:lastColumn="0" w:noHBand="0" w:noVBand="1"/>
      </w:tblPr>
      <w:tblGrid>
        <w:gridCol w:w="1341"/>
        <w:gridCol w:w="5436"/>
        <w:gridCol w:w="2573"/>
      </w:tblGrid>
      <w:tr w:rsidR="00574B83" w:rsidRPr="00574B83" w14:paraId="2A6CA3AC" w14:textId="77777777" w:rsidTr="00117D23">
        <w:tc>
          <w:tcPr>
            <w:tcW w:w="717" w:type="pct"/>
            <w:shd w:val="clear" w:color="auto" w:fill="DEEAF6" w:themeFill="accent5" w:themeFillTint="33"/>
            <w:hideMark/>
          </w:tcPr>
          <w:p w14:paraId="3A92B57B" w14:textId="77777777" w:rsidR="00574B83" w:rsidRPr="00574B83" w:rsidRDefault="00574B83" w:rsidP="00117D23">
            <w:pPr>
              <w:spacing w:after="160" w:line="259" w:lineRule="auto"/>
              <w:jc w:val="center"/>
              <w:rPr>
                <w:rFonts w:ascii="Calibri" w:eastAsia="Times New Roman" w:hAnsi="Calibri"/>
                <w:b/>
                <w:bCs/>
                <w:color w:val="000000"/>
                <w:kern w:val="0"/>
                <w:sz w:val="24"/>
                <w:szCs w:val="24"/>
                <w:lang w:bidi="ne-NP"/>
                <w14:ligatures w14:val="none"/>
              </w:rPr>
            </w:pPr>
            <w:r w:rsidRPr="00574B83">
              <w:rPr>
                <w:rFonts w:ascii="Calibri" w:eastAsia="Times New Roman" w:hAnsi="Calibri"/>
                <w:b/>
                <w:bCs/>
                <w:color w:val="000000"/>
                <w:kern w:val="0"/>
                <w:sz w:val="24"/>
                <w:szCs w:val="24"/>
                <w:lang w:bidi="ne-NP"/>
                <w14:ligatures w14:val="none"/>
              </w:rPr>
              <w:t>S.N.</w:t>
            </w:r>
          </w:p>
        </w:tc>
        <w:tc>
          <w:tcPr>
            <w:tcW w:w="2907" w:type="pct"/>
            <w:shd w:val="clear" w:color="auto" w:fill="DEEAF6" w:themeFill="accent5" w:themeFillTint="33"/>
            <w:hideMark/>
          </w:tcPr>
          <w:p w14:paraId="2948FCC9" w14:textId="77777777" w:rsidR="00574B83" w:rsidRPr="00574B83" w:rsidRDefault="00574B83" w:rsidP="00117D23">
            <w:pPr>
              <w:spacing w:after="160" w:line="259" w:lineRule="auto"/>
              <w:jc w:val="center"/>
              <w:rPr>
                <w:rFonts w:ascii="Calibri" w:eastAsia="Times New Roman" w:hAnsi="Calibri"/>
                <w:b/>
                <w:bCs/>
                <w:color w:val="000000"/>
                <w:kern w:val="0"/>
                <w:sz w:val="24"/>
                <w:szCs w:val="24"/>
                <w:lang w:bidi="ne-NP"/>
                <w14:ligatures w14:val="none"/>
              </w:rPr>
            </w:pPr>
            <w:r w:rsidRPr="00574B83">
              <w:rPr>
                <w:rFonts w:ascii="Calibri" w:eastAsia="Times New Roman" w:hAnsi="Calibri"/>
                <w:b/>
                <w:bCs/>
                <w:color w:val="000000"/>
                <w:kern w:val="0"/>
                <w:sz w:val="24"/>
                <w:szCs w:val="24"/>
                <w:lang w:bidi="ne-NP"/>
                <w14:ligatures w14:val="none"/>
              </w:rPr>
              <w:t>Construction Materials</w:t>
            </w:r>
          </w:p>
        </w:tc>
        <w:tc>
          <w:tcPr>
            <w:tcW w:w="1376" w:type="pct"/>
            <w:shd w:val="clear" w:color="auto" w:fill="DEEAF6" w:themeFill="accent5" w:themeFillTint="33"/>
            <w:hideMark/>
          </w:tcPr>
          <w:p w14:paraId="70168156" w14:textId="77777777" w:rsidR="00574B83" w:rsidRPr="00574B83" w:rsidRDefault="00574B83" w:rsidP="00117D23">
            <w:pPr>
              <w:spacing w:after="160" w:line="259" w:lineRule="auto"/>
              <w:jc w:val="center"/>
              <w:rPr>
                <w:rFonts w:ascii="Calibri" w:eastAsia="Times New Roman" w:hAnsi="Calibri"/>
                <w:b/>
                <w:bCs/>
                <w:color w:val="000000"/>
                <w:kern w:val="0"/>
                <w:sz w:val="24"/>
                <w:szCs w:val="24"/>
                <w:lang w:bidi="ne-NP"/>
                <w14:ligatures w14:val="none"/>
              </w:rPr>
            </w:pPr>
            <w:r w:rsidRPr="00574B83">
              <w:rPr>
                <w:rFonts w:ascii="Calibri" w:eastAsia="Times New Roman" w:hAnsi="Calibri"/>
                <w:b/>
                <w:bCs/>
                <w:color w:val="000000"/>
                <w:kern w:val="0"/>
                <w:sz w:val="24"/>
                <w:szCs w:val="24"/>
                <w:lang w:bidi="ne-NP"/>
                <w14:ligatures w14:val="none"/>
              </w:rPr>
              <w:t>% Change</w:t>
            </w:r>
          </w:p>
        </w:tc>
      </w:tr>
      <w:tr w:rsidR="00574B83" w:rsidRPr="00574B83" w14:paraId="0DD48C48" w14:textId="77777777" w:rsidTr="001812A0">
        <w:tc>
          <w:tcPr>
            <w:tcW w:w="717" w:type="pct"/>
            <w:hideMark/>
          </w:tcPr>
          <w:p w14:paraId="24CFD8D3" w14:textId="77777777" w:rsidR="00574B83" w:rsidRPr="00574B83" w:rsidRDefault="00574B83" w:rsidP="001812A0">
            <w:pPr>
              <w:spacing w:after="160" w:line="259" w:lineRule="auto"/>
              <w:jc w:val="both"/>
              <w:rPr>
                <w:rFonts w:ascii="Calibri" w:eastAsia="Times New Roman" w:hAnsi="Calibri"/>
                <w:color w:val="000000"/>
                <w:kern w:val="0"/>
                <w:sz w:val="24"/>
                <w:szCs w:val="24"/>
                <w:lang w:bidi="ne-NP"/>
                <w14:ligatures w14:val="none"/>
              </w:rPr>
            </w:pPr>
            <w:r w:rsidRPr="00574B83">
              <w:rPr>
                <w:rFonts w:ascii="Calibri" w:eastAsia="Times New Roman" w:hAnsi="Calibri"/>
                <w:color w:val="000000"/>
                <w:kern w:val="0"/>
                <w:sz w:val="24"/>
                <w:szCs w:val="24"/>
                <w:lang w:bidi="ne-NP"/>
                <w14:ligatures w14:val="none"/>
              </w:rPr>
              <w:t>1</w:t>
            </w:r>
          </w:p>
        </w:tc>
        <w:tc>
          <w:tcPr>
            <w:tcW w:w="2907" w:type="pct"/>
            <w:hideMark/>
          </w:tcPr>
          <w:p w14:paraId="54BDDA3D" w14:textId="77777777" w:rsidR="00574B83" w:rsidRPr="00574B83" w:rsidRDefault="00574B83" w:rsidP="001812A0">
            <w:pPr>
              <w:spacing w:after="160" w:line="259" w:lineRule="auto"/>
              <w:jc w:val="both"/>
              <w:rPr>
                <w:rFonts w:ascii="Calibri" w:eastAsia="Times New Roman" w:hAnsi="Calibri"/>
                <w:color w:val="000000"/>
                <w:kern w:val="0"/>
                <w:sz w:val="24"/>
                <w:szCs w:val="24"/>
                <w:lang w:bidi="ne-NP"/>
                <w14:ligatures w14:val="none"/>
              </w:rPr>
            </w:pPr>
            <w:r w:rsidRPr="00574B83">
              <w:rPr>
                <w:rFonts w:ascii="Calibri" w:eastAsia="Times New Roman" w:hAnsi="Calibri"/>
                <w:color w:val="000000"/>
                <w:kern w:val="0"/>
                <w:sz w:val="24"/>
                <w:szCs w:val="24"/>
                <w:lang w:bidi="ne-NP"/>
                <w14:ligatures w14:val="none"/>
              </w:rPr>
              <w:t>Electric wire</w:t>
            </w:r>
          </w:p>
        </w:tc>
        <w:tc>
          <w:tcPr>
            <w:tcW w:w="1376" w:type="pct"/>
            <w:hideMark/>
          </w:tcPr>
          <w:p w14:paraId="126A29DC" w14:textId="77777777" w:rsidR="00574B83" w:rsidRPr="00574B83" w:rsidRDefault="00574B83" w:rsidP="001812A0">
            <w:pPr>
              <w:spacing w:after="160" w:line="259" w:lineRule="auto"/>
              <w:jc w:val="both"/>
              <w:rPr>
                <w:rFonts w:ascii="Calibri" w:eastAsia="Times New Roman" w:hAnsi="Calibri"/>
                <w:color w:val="000000"/>
                <w:kern w:val="0"/>
                <w:sz w:val="24"/>
                <w:szCs w:val="24"/>
                <w:lang w:bidi="ne-NP"/>
                <w14:ligatures w14:val="none"/>
              </w:rPr>
            </w:pPr>
            <w:r w:rsidRPr="00574B83">
              <w:rPr>
                <w:rFonts w:ascii="Calibri" w:eastAsia="Times New Roman" w:hAnsi="Calibri"/>
                <w:color w:val="000000"/>
                <w:kern w:val="0"/>
                <w:sz w:val="24"/>
                <w:szCs w:val="24"/>
                <w:lang w:bidi="ne-NP"/>
                <w14:ligatures w14:val="none"/>
              </w:rPr>
              <w:t>17.91</w:t>
            </w:r>
          </w:p>
        </w:tc>
      </w:tr>
      <w:tr w:rsidR="00574B83" w:rsidRPr="00574B83" w14:paraId="5428F6AD" w14:textId="77777777" w:rsidTr="001812A0">
        <w:tc>
          <w:tcPr>
            <w:tcW w:w="717" w:type="pct"/>
            <w:hideMark/>
          </w:tcPr>
          <w:p w14:paraId="2E1651D7" w14:textId="77777777" w:rsidR="00574B83" w:rsidRPr="00574B83" w:rsidRDefault="00574B83" w:rsidP="001812A0">
            <w:pPr>
              <w:spacing w:after="160" w:line="259" w:lineRule="auto"/>
              <w:jc w:val="both"/>
              <w:rPr>
                <w:rFonts w:ascii="Calibri" w:eastAsia="Times New Roman" w:hAnsi="Calibri"/>
                <w:color w:val="000000"/>
                <w:kern w:val="0"/>
                <w:sz w:val="24"/>
                <w:szCs w:val="24"/>
                <w:lang w:bidi="ne-NP"/>
                <w14:ligatures w14:val="none"/>
              </w:rPr>
            </w:pPr>
            <w:r w:rsidRPr="00574B83">
              <w:rPr>
                <w:rFonts w:ascii="Calibri" w:eastAsia="Times New Roman" w:hAnsi="Calibri"/>
                <w:color w:val="000000"/>
                <w:kern w:val="0"/>
                <w:sz w:val="24"/>
                <w:szCs w:val="24"/>
                <w:lang w:bidi="ne-NP"/>
                <w14:ligatures w14:val="none"/>
              </w:rPr>
              <w:t>2</w:t>
            </w:r>
          </w:p>
        </w:tc>
        <w:tc>
          <w:tcPr>
            <w:tcW w:w="2907" w:type="pct"/>
            <w:hideMark/>
          </w:tcPr>
          <w:p w14:paraId="294E7AFA" w14:textId="77777777" w:rsidR="00574B83" w:rsidRPr="00574B83" w:rsidRDefault="00574B83" w:rsidP="001812A0">
            <w:pPr>
              <w:spacing w:after="160" w:line="259" w:lineRule="auto"/>
              <w:jc w:val="both"/>
              <w:rPr>
                <w:rFonts w:ascii="Calibri" w:eastAsia="Times New Roman" w:hAnsi="Calibri"/>
                <w:color w:val="000000"/>
                <w:kern w:val="0"/>
                <w:sz w:val="24"/>
                <w:szCs w:val="24"/>
                <w:lang w:bidi="ne-NP"/>
                <w14:ligatures w14:val="none"/>
              </w:rPr>
            </w:pPr>
            <w:r w:rsidRPr="00574B83">
              <w:rPr>
                <w:rFonts w:ascii="Calibri" w:eastAsia="Times New Roman" w:hAnsi="Calibri"/>
                <w:color w:val="000000"/>
                <w:kern w:val="0"/>
                <w:sz w:val="24"/>
                <w:szCs w:val="24"/>
                <w:lang w:bidi="ne-NP"/>
                <w14:ligatures w14:val="none"/>
              </w:rPr>
              <w:t>Bricks</w:t>
            </w:r>
          </w:p>
        </w:tc>
        <w:tc>
          <w:tcPr>
            <w:tcW w:w="1376" w:type="pct"/>
            <w:hideMark/>
          </w:tcPr>
          <w:p w14:paraId="42D08271" w14:textId="77777777" w:rsidR="00574B83" w:rsidRPr="00574B83" w:rsidRDefault="00574B83" w:rsidP="001812A0">
            <w:pPr>
              <w:spacing w:after="160" w:line="259" w:lineRule="auto"/>
              <w:jc w:val="both"/>
              <w:rPr>
                <w:rFonts w:ascii="Calibri" w:eastAsia="Times New Roman" w:hAnsi="Calibri"/>
                <w:color w:val="000000"/>
                <w:kern w:val="0"/>
                <w:sz w:val="24"/>
                <w:szCs w:val="24"/>
                <w:lang w:bidi="ne-NP"/>
                <w14:ligatures w14:val="none"/>
              </w:rPr>
            </w:pPr>
            <w:r w:rsidRPr="00574B83">
              <w:rPr>
                <w:rFonts w:ascii="Calibri" w:eastAsia="Times New Roman" w:hAnsi="Calibri"/>
                <w:color w:val="000000"/>
                <w:kern w:val="0"/>
                <w:sz w:val="24"/>
                <w:szCs w:val="24"/>
                <w:lang w:bidi="ne-NP"/>
                <w14:ligatures w14:val="none"/>
              </w:rPr>
              <w:t>5.64</w:t>
            </w:r>
          </w:p>
        </w:tc>
      </w:tr>
      <w:tr w:rsidR="00574B83" w:rsidRPr="00574B83" w14:paraId="4C1045B1" w14:textId="77777777" w:rsidTr="001812A0">
        <w:tc>
          <w:tcPr>
            <w:tcW w:w="717" w:type="pct"/>
            <w:hideMark/>
          </w:tcPr>
          <w:p w14:paraId="428C2B95" w14:textId="77777777" w:rsidR="00574B83" w:rsidRPr="00574B83" w:rsidRDefault="00574B83" w:rsidP="001812A0">
            <w:pPr>
              <w:spacing w:after="160" w:line="259" w:lineRule="auto"/>
              <w:jc w:val="both"/>
              <w:rPr>
                <w:rFonts w:ascii="Calibri" w:eastAsia="Times New Roman" w:hAnsi="Calibri"/>
                <w:color w:val="000000"/>
                <w:kern w:val="0"/>
                <w:sz w:val="24"/>
                <w:szCs w:val="24"/>
                <w:lang w:bidi="ne-NP"/>
                <w14:ligatures w14:val="none"/>
              </w:rPr>
            </w:pPr>
            <w:r w:rsidRPr="00574B83">
              <w:rPr>
                <w:rFonts w:ascii="Calibri" w:eastAsia="Times New Roman" w:hAnsi="Calibri"/>
                <w:color w:val="000000"/>
                <w:kern w:val="0"/>
                <w:sz w:val="24"/>
                <w:szCs w:val="24"/>
                <w:lang w:bidi="ne-NP"/>
                <w14:ligatures w14:val="none"/>
              </w:rPr>
              <w:t>3</w:t>
            </w:r>
          </w:p>
        </w:tc>
        <w:tc>
          <w:tcPr>
            <w:tcW w:w="2907" w:type="pct"/>
            <w:hideMark/>
          </w:tcPr>
          <w:p w14:paraId="1670B9B7" w14:textId="77777777" w:rsidR="00574B83" w:rsidRPr="00574B83" w:rsidRDefault="00574B83" w:rsidP="001812A0">
            <w:pPr>
              <w:spacing w:after="160" w:line="259" w:lineRule="auto"/>
              <w:jc w:val="both"/>
              <w:rPr>
                <w:rFonts w:ascii="Calibri" w:eastAsia="Times New Roman" w:hAnsi="Calibri"/>
                <w:color w:val="000000"/>
                <w:kern w:val="0"/>
                <w:sz w:val="24"/>
                <w:szCs w:val="24"/>
                <w:lang w:bidi="ne-NP"/>
                <w14:ligatures w14:val="none"/>
              </w:rPr>
            </w:pPr>
            <w:r w:rsidRPr="00574B83">
              <w:rPr>
                <w:rFonts w:ascii="Calibri" w:eastAsia="Times New Roman" w:hAnsi="Calibri"/>
                <w:color w:val="000000"/>
                <w:kern w:val="0"/>
                <w:sz w:val="24"/>
                <w:szCs w:val="24"/>
                <w:lang w:bidi="ne-NP"/>
                <w14:ligatures w14:val="none"/>
              </w:rPr>
              <w:t>GI pipe fittings</w:t>
            </w:r>
          </w:p>
        </w:tc>
        <w:tc>
          <w:tcPr>
            <w:tcW w:w="1376" w:type="pct"/>
            <w:hideMark/>
          </w:tcPr>
          <w:p w14:paraId="7D915900" w14:textId="77777777" w:rsidR="00574B83" w:rsidRPr="00574B83" w:rsidRDefault="00574B83" w:rsidP="001812A0">
            <w:pPr>
              <w:spacing w:after="160" w:line="259" w:lineRule="auto"/>
              <w:jc w:val="both"/>
              <w:rPr>
                <w:rFonts w:ascii="Calibri" w:eastAsia="Times New Roman" w:hAnsi="Calibri"/>
                <w:color w:val="000000"/>
                <w:kern w:val="0"/>
                <w:sz w:val="24"/>
                <w:szCs w:val="24"/>
                <w:lang w:bidi="ne-NP"/>
                <w14:ligatures w14:val="none"/>
              </w:rPr>
            </w:pPr>
            <w:r w:rsidRPr="00574B83">
              <w:rPr>
                <w:rFonts w:ascii="Calibri" w:eastAsia="Times New Roman" w:hAnsi="Calibri"/>
                <w:color w:val="000000"/>
                <w:kern w:val="0"/>
                <w:sz w:val="24"/>
                <w:szCs w:val="24"/>
                <w:lang w:bidi="ne-NP"/>
                <w14:ligatures w14:val="none"/>
              </w:rPr>
              <w:t>3.99</w:t>
            </w:r>
          </w:p>
        </w:tc>
      </w:tr>
      <w:tr w:rsidR="00574B83" w:rsidRPr="00574B83" w14:paraId="1063A4C6" w14:textId="77777777" w:rsidTr="001812A0">
        <w:tc>
          <w:tcPr>
            <w:tcW w:w="717" w:type="pct"/>
            <w:hideMark/>
          </w:tcPr>
          <w:p w14:paraId="274E7856" w14:textId="77777777" w:rsidR="00574B83" w:rsidRPr="00574B83" w:rsidRDefault="00574B83" w:rsidP="001812A0">
            <w:pPr>
              <w:spacing w:after="160" w:line="259" w:lineRule="auto"/>
              <w:jc w:val="both"/>
              <w:rPr>
                <w:rFonts w:ascii="Calibri" w:eastAsia="Times New Roman" w:hAnsi="Calibri"/>
                <w:color w:val="000000"/>
                <w:kern w:val="0"/>
                <w:sz w:val="24"/>
                <w:szCs w:val="24"/>
                <w:lang w:bidi="ne-NP"/>
                <w14:ligatures w14:val="none"/>
              </w:rPr>
            </w:pPr>
            <w:r w:rsidRPr="00574B83">
              <w:rPr>
                <w:rFonts w:ascii="Calibri" w:eastAsia="Times New Roman" w:hAnsi="Calibri"/>
                <w:color w:val="000000"/>
                <w:kern w:val="0"/>
                <w:sz w:val="24"/>
                <w:szCs w:val="24"/>
                <w:lang w:bidi="ne-NP"/>
                <w14:ligatures w14:val="none"/>
              </w:rPr>
              <w:t>4</w:t>
            </w:r>
          </w:p>
        </w:tc>
        <w:tc>
          <w:tcPr>
            <w:tcW w:w="2907" w:type="pct"/>
            <w:hideMark/>
          </w:tcPr>
          <w:p w14:paraId="086B3757" w14:textId="3A96E0B0" w:rsidR="00574B83" w:rsidRPr="00574B83" w:rsidRDefault="00574B83" w:rsidP="001812A0">
            <w:pPr>
              <w:spacing w:after="160" w:line="259" w:lineRule="auto"/>
              <w:jc w:val="both"/>
              <w:rPr>
                <w:rFonts w:ascii="Calibri" w:eastAsia="Times New Roman" w:hAnsi="Calibri"/>
                <w:color w:val="000000"/>
                <w:kern w:val="0"/>
                <w:sz w:val="24"/>
                <w:szCs w:val="24"/>
                <w:lang w:bidi="ne-NP"/>
                <w14:ligatures w14:val="none"/>
              </w:rPr>
            </w:pPr>
            <w:r w:rsidRPr="00574B83">
              <w:rPr>
                <w:rFonts w:ascii="Calibri" w:eastAsia="Times New Roman" w:hAnsi="Calibri"/>
                <w:color w:val="000000"/>
                <w:kern w:val="0"/>
                <w:sz w:val="24"/>
                <w:szCs w:val="24"/>
                <w:lang w:bidi="ne-NP"/>
                <w14:ligatures w14:val="none"/>
              </w:rPr>
              <w:t xml:space="preserve">GI </w:t>
            </w:r>
            <w:r w:rsidR="00D6404B">
              <w:rPr>
                <w:rFonts w:ascii="Calibri" w:eastAsia="Times New Roman" w:hAnsi="Calibri"/>
                <w:color w:val="000000"/>
                <w:kern w:val="0"/>
                <w:sz w:val="24"/>
                <w:szCs w:val="24"/>
                <w:lang w:bidi="ne-NP"/>
                <w14:ligatures w14:val="none"/>
              </w:rPr>
              <w:t xml:space="preserve">½ </w:t>
            </w:r>
            <w:r w:rsidRPr="00574B83">
              <w:rPr>
                <w:rFonts w:ascii="Calibri" w:eastAsia="Times New Roman" w:hAnsi="Calibri"/>
                <w:color w:val="000000"/>
                <w:kern w:val="0"/>
                <w:sz w:val="24"/>
                <w:szCs w:val="24"/>
                <w:lang w:bidi="ne-NP"/>
                <w14:ligatures w14:val="none"/>
              </w:rPr>
              <w:t>inch pipe</w:t>
            </w:r>
          </w:p>
        </w:tc>
        <w:tc>
          <w:tcPr>
            <w:tcW w:w="1376" w:type="pct"/>
            <w:hideMark/>
          </w:tcPr>
          <w:p w14:paraId="1436ABA5" w14:textId="77777777" w:rsidR="00574B83" w:rsidRPr="00574B83" w:rsidRDefault="00574B83" w:rsidP="001812A0">
            <w:pPr>
              <w:spacing w:after="160" w:line="259" w:lineRule="auto"/>
              <w:jc w:val="both"/>
              <w:rPr>
                <w:rFonts w:ascii="Calibri" w:eastAsia="Times New Roman" w:hAnsi="Calibri"/>
                <w:color w:val="000000"/>
                <w:kern w:val="0"/>
                <w:sz w:val="24"/>
                <w:szCs w:val="24"/>
                <w:lang w:bidi="ne-NP"/>
                <w14:ligatures w14:val="none"/>
              </w:rPr>
            </w:pPr>
            <w:r w:rsidRPr="00574B83">
              <w:rPr>
                <w:rFonts w:ascii="Calibri" w:eastAsia="Times New Roman" w:hAnsi="Calibri"/>
                <w:color w:val="000000"/>
                <w:kern w:val="0"/>
                <w:sz w:val="24"/>
                <w:szCs w:val="24"/>
                <w:lang w:bidi="ne-NP"/>
                <w14:ligatures w14:val="none"/>
              </w:rPr>
              <w:t>3.87</w:t>
            </w:r>
          </w:p>
        </w:tc>
      </w:tr>
      <w:tr w:rsidR="00574B83" w:rsidRPr="00574B83" w14:paraId="442A69FA" w14:textId="77777777" w:rsidTr="001812A0">
        <w:tc>
          <w:tcPr>
            <w:tcW w:w="717" w:type="pct"/>
            <w:hideMark/>
          </w:tcPr>
          <w:p w14:paraId="59B4EC83" w14:textId="77777777" w:rsidR="00574B83" w:rsidRPr="00574B83" w:rsidRDefault="00574B83" w:rsidP="001812A0">
            <w:pPr>
              <w:spacing w:after="160" w:line="259" w:lineRule="auto"/>
              <w:jc w:val="both"/>
              <w:rPr>
                <w:rFonts w:ascii="Calibri" w:eastAsia="Times New Roman" w:hAnsi="Calibri"/>
                <w:color w:val="000000"/>
                <w:kern w:val="0"/>
                <w:sz w:val="24"/>
                <w:szCs w:val="24"/>
                <w:lang w:bidi="ne-NP"/>
                <w14:ligatures w14:val="none"/>
              </w:rPr>
            </w:pPr>
            <w:r w:rsidRPr="00574B83">
              <w:rPr>
                <w:rFonts w:ascii="Calibri" w:eastAsia="Times New Roman" w:hAnsi="Calibri"/>
                <w:color w:val="000000"/>
                <w:kern w:val="0"/>
                <w:sz w:val="24"/>
                <w:szCs w:val="24"/>
                <w:lang w:bidi="ne-NP"/>
                <w14:ligatures w14:val="none"/>
              </w:rPr>
              <w:t>5</w:t>
            </w:r>
          </w:p>
        </w:tc>
        <w:tc>
          <w:tcPr>
            <w:tcW w:w="2907" w:type="pct"/>
            <w:hideMark/>
          </w:tcPr>
          <w:p w14:paraId="0CE23A5B" w14:textId="77777777" w:rsidR="00574B83" w:rsidRPr="00574B83" w:rsidRDefault="00574B83" w:rsidP="001812A0">
            <w:pPr>
              <w:spacing w:after="160" w:line="259" w:lineRule="auto"/>
              <w:jc w:val="both"/>
              <w:rPr>
                <w:rFonts w:ascii="Calibri" w:eastAsia="Times New Roman" w:hAnsi="Calibri"/>
                <w:color w:val="000000"/>
                <w:kern w:val="0"/>
                <w:sz w:val="24"/>
                <w:szCs w:val="24"/>
                <w:lang w:bidi="ne-NP"/>
                <w14:ligatures w14:val="none"/>
              </w:rPr>
            </w:pPr>
            <w:r w:rsidRPr="00574B83">
              <w:rPr>
                <w:rFonts w:ascii="Calibri" w:eastAsia="Times New Roman" w:hAnsi="Calibri"/>
                <w:color w:val="000000"/>
                <w:kern w:val="0"/>
                <w:sz w:val="24"/>
                <w:szCs w:val="24"/>
                <w:lang w:bidi="ne-NP"/>
                <w14:ligatures w14:val="none"/>
              </w:rPr>
              <w:t>Marble</w:t>
            </w:r>
          </w:p>
        </w:tc>
        <w:tc>
          <w:tcPr>
            <w:tcW w:w="1376" w:type="pct"/>
            <w:hideMark/>
          </w:tcPr>
          <w:p w14:paraId="5DE56396" w14:textId="77777777" w:rsidR="00574B83" w:rsidRPr="00574B83" w:rsidRDefault="00574B83" w:rsidP="001812A0">
            <w:pPr>
              <w:spacing w:after="160" w:line="259" w:lineRule="auto"/>
              <w:jc w:val="both"/>
              <w:rPr>
                <w:rFonts w:ascii="Calibri" w:eastAsia="Times New Roman" w:hAnsi="Calibri"/>
                <w:color w:val="000000"/>
                <w:kern w:val="0"/>
                <w:sz w:val="24"/>
                <w:szCs w:val="24"/>
                <w:lang w:bidi="ne-NP"/>
                <w14:ligatures w14:val="none"/>
              </w:rPr>
            </w:pPr>
            <w:r w:rsidRPr="00574B83">
              <w:rPr>
                <w:rFonts w:ascii="Calibri" w:eastAsia="Times New Roman" w:hAnsi="Calibri"/>
                <w:color w:val="000000"/>
                <w:kern w:val="0"/>
                <w:sz w:val="24"/>
                <w:szCs w:val="24"/>
                <w:lang w:bidi="ne-NP"/>
                <w14:ligatures w14:val="none"/>
              </w:rPr>
              <w:t>3.21</w:t>
            </w:r>
          </w:p>
        </w:tc>
      </w:tr>
    </w:tbl>
    <w:p w14:paraId="2A3078A8" w14:textId="77777777" w:rsidR="00574B83" w:rsidRPr="00574B83" w:rsidRDefault="00574B83" w:rsidP="001812A0">
      <w:pPr>
        <w:jc w:val="both"/>
        <w:rPr>
          <w:rFonts w:ascii="Calibri" w:eastAsia="Times New Roman" w:hAnsi="Calibri"/>
          <w:b/>
          <w:bCs/>
          <w:color w:val="000000"/>
          <w:kern w:val="0"/>
          <w:sz w:val="24"/>
          <w:szCs w:val="24"/>
          <w:lang w:bidi="ne-NP"/>
          <w14:ligatures w14:val="none"/>
        </w:rPr>
      </w:pPr>
      <w:r w:rsidRPr="00574B83">
        <w:rPr>
          <w:rFonts w:ascii="Calibri" w:eastAsia="Times New Roman" w:hAnsi="Calibri"/>
          <w:b/>
          <w:bCs/>
          <w:color w:val="000000"/>
          <w:kern w:val="0"/>
          <w:sz w:val="24"/>
          <w:szCs w:val="24"/>
          <w:lang w:bidi="ne-NP"/>
          <w14:ligatures w14:val="none"/>
        </w:rPr>
        <w:t>(b) Materials with Negative Price Growth</w:t>
      </w:r>
    </w:p>
    <w:tbl>
      <w:tblPr>
        <w:tblStyle w:val="TableGrid"/>
        <w:tblW w:w="5000" w:type="pct"/>
        <w:tblLook w:val="04A0" w:firstRow="1" w:lastRow="0" w:firstColumn="1" w:lastColumn="0" w:noHBand="0" w:noVBand="1"/>
      </w:tblPr>
      <w:tblGrid>
        <w:gridCol w:w="1341"/>
        <w:gridCol w:w="5436"/>
        <w:gridCol w:w="2573"/>
      </w:tblGrid>
      <w:tr w:rsidR="00574B83" w:rsidRPr="00574B83" w14:paraId="7BFD036D" w14:textId="77777777" w:rsidTr="00117D23">
        <w:tc>
          <w:tcPr>
            <w:tcW w:w="717" w:type="pct"/>
            <w:shd w:val="clear" w:color="auto" w:fill="DEEAF6" w:themeFill="accent5" w:themeFillTint="33"/>
            <w:hideMark/>
          </w:tcPr>
          <w:p w14:paraId="2091A0E5" w14:textId="77777777" w:rsidR="00574B83" w:rsidRPr="00574B83" w:rsidRDefault="00574B83" w:rsidP="00117D23">
            <w:pPr>
              <w:spacing w:after="160" w:line="259" w:lineRule="auto"/>
              <w:jc w:val="center"/>
              <w:rPr>
                <w:rFonts w:ascii="Calibri" w:eastAsia="Times New Roman" w:hAnsi="Calibri"/>
                <w:b/>
                <w:bCs/>
                <w:color w:val="000000"/>
                <w:kern w:val="0"/>
                <w:sz w:val="24"/>
                <w:szCs w:val="24"/>
                <w:lang w:bidi="ne-NP"/>
                <w14:ligatures w14:val="none"/>
              </w:rPr>
            </w:pPr>
            <w:r w:rsidRPr="00574B83">
              <w:rPr>
                <w:rFonts w:ascii="Calibri" w:eastAsia="Times New Roman" w:hAnsi="Calibri"/>
                <w:b/>
                <w:bCs/>
                <w:color w:val="000000"/>
                <w:kern w:val="0"/>
                <w:sz w:val="24"/>
                <w:szCs w:val="24"/>
                <w:lang w:bidi="ne-NP"/>
                <w14:ligatures w14:val="none"/>
              </w:rPr>
              <w:t>S.N.</w:t>
            </w:r>
          </w:p>
        </w:tc>
        <w:tc>
          <w:tcPr>
            <w:tcW w:w="2907" w:type="pct"/>
            <w:shd w:val="clear" w:color="auto" w:fill="DEEAF6" w:themeFill="accent5" w:themeFillTint="33"/>
            <w:hideMark/>
          </w:tcPr>
          <w:p w14:paraId="0DD63F32" w14:textId="77777777" w:rsidR="00574B83" w:rsidRPr="00574B83" w:rsidRDefault="00574B83" w:rsidP="00117D23">
            <w:pPr>
              <w:spacing w:after="160" w:line="259" w:lineRule="auto"/>
              <w:jc w:val="center"/>
              <w:rPr>
                <w:rFonts w:ascii="Calibri" w:eastAsia="Times New Roman" w:hAnsi="Calibri"/>
                <w:b/>
                <w:bCs/>
                <w:color w:val="000000"/>
                <w:kern w:val="0"/>
                <w:sz w:val="24"/>
                <w:szCs w:val="24"/>
                <w:lang w:bidi="ne-NP"/>
                <w14:ligatures w14:val="none"/>
              </w:rPr>
            </w:pPr>
            <w:r w:rsidRPr="00574B83">
              <w:rPr>
                <w:rFonts w:ascii="Calibri" w:eastAsia="Times New Roman" w:hAnsi="Calibri"/>
                <w:b/>
                <w:bCs/>
                <w:color w:val="000000"/>
                <w:kern w:val="0"/>
                <w:sz w:val="24"/>
                <w:szCs w:val="24"/>
                <w:lang w:bidi="ne-NP"/>
                <w14:ligatures w14:val="none"/>
              </w:rPr>
              <w:t>Construction Materials</w:t>
            </w:r>
          </w:p>
        </w:tc>
        <w:tc>
          <w:tcPr>
            <w:tcW w:w="1376" w:type="pct"/>
            <w:shd w:val="clear" w:color="auto" w:fill="DEEAF6" w:themeFill="accent5" w:themeFillTint="33"/>
            <w:hideMark/>
          </w:tcPr>
          <w:p w14:paraId="6F431802" w14:textId="77777777" w:rsidR="00574B83" w:rsidRPr="00574B83" w:rsidRDefault="00574B83" w:rsidP="00117D23">
            <w:pPr>
              <w:spacing w:after="160" w:line="259" w:lineRule="auto"/>
              <w:jc w:val="center"/>
              <w:rPr>
                <w:rFonts w:ascii="Calibri" w:eastAsia="Times New Roman" w:hAnsi="Calibri"/>
                <w:b/>
                <w:bCs/>
                <w:color w:val="000000"/>
                <w:kern w:val="0"/>
                <w:sz w:val="24"/>
                <w:szCs w:val="24"/>
                <w:lang w:bidi="ne-NP"/>
                <w14:ligatures w14:val="none"/>
              </w:rPr>
            </w:pPr>
            <w:r w:rsidRPr="00574B83">
              <w:rPr>
                <w:rFonts w:ascii="Calibri" w:eastAsia="Times New Roman" w:hAnsi="Calibri"/>
                <w:b/>
                <w:bCs/>
                <w:color w:val="000000"/>
                <w:kern w:val="0"/>
                <w:sz w:val="24"/>
                <w:szCs w:val="24"/>
                <w:lang w:bidi="ne-NP"/>
                <w14:ligatures w14:val="none"/>
              </w:rPr>
              <w:t>% Change</w:t>
            </w:r>
          </w:p>
        </w:tc>
      </w:tr>
      <w:tr w:rsidR="00574B83" w:rsidRPr="00574B83" w14:paraId="78A2FDB6" w14:textId="77777777" w:rsidTr="001812A0">
        <w:tc>
          <w:tcPr>
            <w:tcW w:w="717" w:type="pct"/>
            <w:hideMark/>
          </w:tcPr>
          <w:p w14:paraId="347972CC" w14:textId="77777777" w:rsidR="00574B83" w:rsidRPr="00574B83" w:rsidRDefault="00574B83" w:rsidP="001812A0">
            <w:pPr>
              <w:spacing w:after="160" w:line="259" w:lineRule="auto"/>
              <w:jc w:val="both"/>
              <w:rPr>
                <w:rFonts w:ascii="Calibri" w:eastAsia="Times New Roman" w:hAnsi="Calibri"/>
                <w:color w:val="000000"/>
                <w:kern w:val="0"/>
                <w:sz w:val="24"/>
                <w:szCs w:val="24"/>
                <w:lang w:bidi="ne-NP"/>
                <w14:ligatures w14:val="none"/>
              </w:rPr>
            </w:pPr>
            <w:r w:rsidRPr="00574B83">
              <w:rPr>
                <w:rFonts w:ascii="Calibri" w:eastAsia="Times New Roman" w:hAnsi="Calibri"/>
                <w:color w:val="000000"/>
                <w:kern w:val="0"/>
                <w:sz w:val="24"/>
                <w:szCs w:val="24"/>
                <w:lang w:bidi="ne-NP"/>
                <w14:ligatures w14:val="none"/>
              </w:rPr>
              <w:t>1</w:t>
            </w:r>
          </w:p>
        </w:tc>
        <w:tc>
          <w:tcPr>
            <w:tcW w:w="2907" w:type="pct"/>
            <w:hideMark/>
          </w:tcPr>
          <w:p w14:paraId="3235BBE0" w14:textId="77777777" w:rsidR="00574B83" w:rsidRPr="00574B83" w:rsidRDefault="00574B83" w:rsidP="001812A0">
            <w:pPr>
              <w:spacing w:after="160" w:line="259" w:lineRule="auto"/>
              <w:jc w:val="both"/>
              <w:rPr>
                <w:rFonts w:ascii="Calibri" w:eastAsia="Times New Roman" w:hAnsi="Calibri"/>
                <w:color w:val="000000"/>
                <w:kern w:val="0"/>
                <w:sz w:val="24"/>
                <w:szCs w:val="24"/>
                <w:lang w:bidi="ne-NP"/>
                <w14:ligatures w14:val="none"/>
              </w:rPr>
            </w:pPr>
            <w:r w:rsidRPr="00574B83">
              <w:rPr>
                <w:rFonts w:ascii="Calibri" w:eastAsia="Times New Roman" w:hAnsi="Calibri"/>
                <w:color w:val="000000"/>
                <w:kern w:val="0"/>
                <w:sz w:val="24"/>
                <w:szCs w:val="24"/>
                <w:lang w:bidi="ne-NP"/>
                <w14:ligatures w14:val="none"/>
              </w:rPr>
              <w:t>Hume pipe</w:t>
            </w:r>
          </w:p>
        </w:tc>
        <w:tc>
          <w:tcPr>
            <w:tcW w:w="1376" w:type="pct"/>
            <w:hideMark/>
          </w:tcPr>
          <w:p w14:paraId="527549F4" w14:textId="77777777" w:rsidR="00574B83" w:rsidRPr="00574B83" w:rsidRDefault="00574B83" w:rsidP="001812A0">
            <w:pPr>
              <w:spacing w:after="160" w:line="259" w:lineRule="auto"/>
              <w:jc w:val="both"/>
              <w:rPr>
                <w:rFonts w:ascii="Calibri" w:eastAsia="Times New Roman" w:hAnsi="Calibri"/>
                <w:color w:val="000000"/>
                <w:kern w:val="0"/>
                <w:sz w:val="24"/>
                <w:szCs w:val="24"/>
                <w:lang w:bidi="ne-NP"/>
                <w14:ligatures w14:val="none"/>
              </w:rPr>
            </w:pPr>
            <w:r w:rsidRPr="00574B83">
              <w:rPr>
                <w:rFonts w:ascii="Calibri" w:eastAsia="Times New Roman" w:hAnsi="Calibri"/>
                <w:color w:val="000000"/>
                <w:kern w:val="0"/>
                <w:sz w:val="24"/>
                <w:szCs w:val="24"/>
                <w:lang w:bidi="ne-NP"/>
                <w14:ligatures w14:val="none"/>
              </w:rPr>
              <w:t>-15.34</w:t>
            </w:r>
          </w:p>
        </w:tc>
      </w:tr>
      <w:tr w:rsidR="00574B83" w:rsidRPr="00574B83" w14:paraId="4BF42739" w14:textId="77777777" w:rsidTr="001812A0">
        <w:tc>
          <w:tcPr>
            <w:tcW w:w="717" w:type="pct"/>
            <w:hideMark/>
          </w:tcPr>
          <w:p w14:paraId="1FEC3AC9" w14:textId="77777777" w:rsidR="00574B83" w:rsidRPr="00574B83" w:rsidRDefault="00574B83" w:rsidP="001812A0">
            <w:pPr>
              <w:spacing w:after="160" w:line="259" w:lineRule="auto"/>
              <w:jc w:val="both"/>
              <w:rPr>
                <w:rFonts w:ascii="Calibri" w:eastAsia="Times New Roman" w:hAnsi="Calibri"/>
                <w:color w:val="000000"/>
                <w:kern w:val="0"/>
                <w:sz w:val="24"/>
                <w:szCs w:val="24"/>
                <w:lang w:bidi="ne-NP"/>
                <w14:ligatures w14:val="none"/>
              </w:rPr>
            </w:pPr>
            <w:r w:rsidRPr="00574B83">
              <w:rPr>
                <w:rFonts w:ascii="Calibri" w:eastAsia="Times New Roman" w:hAnsi="Calibri"/>
                <w:color w:val="000000"/>
                <w:kern w:val="0"/>
                <w:sz w:val="24"/>
                <w:szCs w:val="24"/>
                <w:lang w:bidi="ne-NP"/>
                <w14:ligatures w14:val="none"/>
              </w:rPr>
              <w:t>2</w:t>
            </w:r>
          </w:p>
        </w:tc>
        <w:tc>
          <w:tcPr>
            <w:tcW w:w="2907" w:type="pct"/>
            <w:hideMark/>
          </w:tcPr>
          <w:p w14:paraId="4497FAAD" w14:textId="77777777" w:rsidR="00574B83" w:rsidRPr="00574B83" w:rsidRDefault="00574B83" w:rsidP="001812A0">
            <w:pPr>
              <w:spacing w:after="160" w:line="259" w:lineRule="auto"/>
              <w:jc w:val="both"/>
              <w:rPr>
                <w:rFonts w:ascii="Calibri" w:eastAsia="Times New Roman" w:hAnsi="Calibri"/>
                <w:color w:val="000000"/>
                <w:kern w:val="0"/>
                <w:sz w:val="24"/>
                <w:szCs w:val="24"/>
                <w:lang w:bidi="ne-NP"/>
                <w14:ligatures w14:val="none"/>
              </w:rPr>
            </w:pPr>
            <w:r w:rsidRPr="00574B83">
              <w:rPr>
                <w:rFonts w:ascii="Calibri" w:eastAsia="Times New Roman" w:hAnsi="Calibri"/>
                <w:color w:val="000000"/>
                <w:kern w:val="0"/>
                <w:sz w:val="24"/>
                <w:szCs w:val="24"/>
                <w:lang w:bidi="ne-NP"/>
                <w14:ligatures w14:val="none"/>
              </w:rPr>
              <w:t>Wood</w:t>
            </w:r>
          </w:p>
        </w:tc>
        <w:tc>
          <w:tcPr>
            <w:tcW w:w="1376" w:type="pct"/>
            <w:hideMark/>
          </w:tcPr>
          <w:p w14:paraId="15788788" w14:textId="77777777" w:rsidR="00574B83" w:rsidRPr="00574B83" w:rsidRDefault="00574B83" w:rsidP="001812A0">
            <w:pPr>
              <w:spacing w:after="160" w:line="259" w:lineRule="auto"/>
              <w:jc w:val="both"/>
              <w:rPr>
                <w:rFonts w:ascii="Calibri" w:eastAsia="Times New Roman" w:hAnsi="Calibri"/>
                <w:color w:val="000000"/>
                <w:kern w:val="0"/>
                <w:sz w:val="24"/>
                <w:szCs w:val="24"/>
                <w:lang w:bidi="ne-NP"/>
                <w14:ligatures w14:val="none"/>
              </w:rPr>
            </w:pPr>
            <w:r w:rsidRPr="00574B83">
              <w:rPr>
                <w:rFonts w:ascii="Calibri" w:eastAsia="Times New Roman" w:hAnsi="Calibri"/>
                <w:color w:val="000000"/>
                <w:kern w:val="0"/>
                <w:sz w:val="24"/>
                <w:szCs w:val="24"/>
                <w:lang w:bidi="ne-NP"/>
                <w14:ligatures w14:val="none"/>
              </w:rPr>
              <w:t>-8.76</w:t>
            </w:r>
          </w:p>
        </w:tc>
      </w:tr>
      <w:tr w:rsidR="00574B83" w:rsidRPr="00574B83" w14:paraId="024B963E" w14:textId="77777777" w:rsidTr="001812A0">
        <w:tc>
          <w:tcPr>
            <w:tcW w:w="717" w:type="pct"/>
            <w:hideMark/>
          </w:tcPr>
          <w:p w14:paraId="7091A619" w14:textId="77777777" w:rsidR="00574B83" w:rsidRPr="00574B83" w:rsidRDefault="00574B83" w:rsidP="001812A0">
            <w:pPr>
              <w:spacing w:after="160" w:line="259" w:lineRule="auto"/>
              <w:jc w:val="both"/>
              <w:rPr>
                <w:rFonts w:ascii="Calibri" w:eastAsia="Times New Roman" w:hAnsi="Calibri"/>
                <w:color w:val="000000"/>
                <w:kern w:val="0"/>
                <w:sz w:val="24"/>
                <w:szCs w:val="24"/>
                <w:lang w:bidi="ne-NP"/>
                <w14:ligatures w14:val="none"/>
              </w:rPr>
            </w:pPr>
            <w:r w:rsidRPr="00574B83">
              <w:rPr>
                <w:rFonts w:ascii="Calibri" w:eastAsia="Times New Roman" w:hAnsi="Calibri"/>
                <w:color w:val="000000"/>
                <w:kern w:val="0"/>
                <w:sz w:val="24"/>
                <w:szCs w:val="24"/>
                <w:lang w:bidi="ne-NP"/>
                <w14:ligatures w14:val="none"/>
              </w:rPr>
              <w:t>3</w:t>
            </w:r>
          </w:p>
        </w:tc>
        <w:tc>
          <w:tcPr>
            <w:tcW w:w="2907" w:type="pct"/>
            <w:hideMark/>
          </w:tcPr>
          <w:p w14:paraId="1E9DF89B" w14:textId="77777777" w:rsidR="00574B83" w:rsidRPr="00574B83" w:rsidRDefault="00574B83" w:rsidP="001812A0">
            <w:pPr>
              <w:spacing w:after="160" w:line="259" w:lineRule="auto"/>
              <w:jc w:val="both"/>
              <w:rPr>
                <w:rFonts w:ascii="Calibri" w:eastAsia="Times New Roman" w:hAnsi="Calibri"/>
                <w:color w:val="000000"/>
                <w:kern w:val="0"/>
                <w:sz w:val="24"/>
                <w:szCs w:val="24"/>
                <w:lang w:bidi="ne-NP"/>
                <w14:ligatures w14:val="none"/>
              </w:rPr>
            </w:pPr>
            <w:r w:rsidRPr="00574B83">
              <w:rPr>
                <w:rFonts w:ascii="Calibri" w:eastAsia="Times New Roman" w:hAnsi="Calibri"/>
                <w:color w:val="000000"/>
                <w:kern w:val="0"/>
                <w:sz w:val="24"/>
                <w:szCs w:val="24"/>
                <w:lang w:bidi="ne-NP"/>
                <w14:ligatures w14:val="none"/>
              </w:rPr>
              <w:t>Bitumen</w:t>
            </w:r>
          </w:p>
        </w:tc>
        <w:tc>
          <w:tcPr>
            <w:tcW w:w="1376" w:type="pct"/>
            <w:hideMark/>
          </w:tcPr>
          <w:p w14:paraId="2D571EF6" w14:textId="77777777" w:rsidR="00574B83" w:rsidRPr="00574B83" w:rsidRDefault="00574B83" w:rsidP="001812A0">
            <w:pPr>
              <w:spacing w:after="160" w:line="259" w:lineRule="auto"/>
              <w:jc w:val="both"/>
              <w:rPr>
                <w:rFonts w:ascii="Calibri" w:eastAsia="Times New Roman" w:hAnsi="Calibri"/>
                <w:color w:val="000000"/>
                <w:kern w:val="0"/>
                <w:sz w:val="24"/>
                <w:szCs w:val="24"/>
                <w:lang w:bidi="ne-NP"/>
                <w14:ligatures w14:val="none"/>
              </w:rPr>
            </w:pPr>
            <w:r w:rsidRPr="00574B83">
              <w:rPr>
                <w:rFonts w:ascii="Calibri" w:eastAsia="Times New Roman" w:hAnsi="Calibri"/>
                <w:color w:val="000000"/>
                <w:kern w:val="0"/>
                <w:sz w:val="24"/>
                <w:szCs w:val="24"/>
                <w:lang w:bidi="ne-NP"/>
                <w14:ligatures w14:val="none"/>
              </w:rPr>
              <w:t>-7.45</w:t>
            </w:r>
          </w:p>
        </w:tc>
      </w:tr>
      <w:tr w:rsidR="00574B83" w:rsidRPr="00574B83" w14:paraId="407434F3" w14:textId="77777777" w:rsidTr="001812A0">
        <w:tc>
          <w:tcPr>
            <w:tcW w:w="717" w:type="pct"/>
            <w:hideMark/>
          </w:tcPr>
          <w:p w14:paraId="28CF77F4" w14:textId="77777777" w:rsidR="00574B83" w:rsidRPr="00574B83" w:rsidRDefault="00574B83" w:rsidP="001812A0">
            <w:pPr>
              <w:spacing w:after="160" w:line="259" w:lineRule="auto"/>
              <w:jc w:val="both"/>
              <w:rPr>
                <w:rFonts w:ascii="Calibri" w:eastAsia="Times New Roman" w:hAnsi="Calibri"/>
                <w:color w:val="000000"/>
                <w:kern w:val="0"/>
                <w:sz w:val="24"/>
                <w:szCs w:val="24"/>
                <w:lang w:bidi="ne-NP"/>
                <w14:ligatures w14:val="none"/>
              </w:rPr>
            </w:pPr>
            <w:r w:rsidRPr="00574B83">
              <w:rPr>
                <w:rFonts w:ascii="Calibri" w:eastAsia="Times New Roman" w:hAnsi="Calibri"/>
                <w:color w:val="000000"/>
                <w:kern w:val="0"/>
                <w:sz w:val="24"/>
                <w:szCs w:val="24"/>
                <w:lang w:bidi="ne-NP"/>
                <w14:ligatures w14:val="none"/>
              </w:rPr>
              <w:t>4</w:t>
            </w:r>
          </w:p>
        </w:tc>
        <w:tc>
          <w:tcPr>
            <w:tcW w:w="2907" w:type="pct"/>
            <w:hideMark/>
          </w:tcPr>
          <w:p w14:paraId="3A39A4A9" w14:textId="77777777" w:rsidR="00574B83" w:rsidRPr="00574B83" w:rsidRDefault="00574B83" w:rsidP="001812A0">
            <w:pPr>
              <w:spacing w:after="160" w:line="259" w:lineRule="auto"/>
              <w:jc w:val="both"/>
              <w:rPr>
                <w:rFonts w:ascii="Calibri" w:eastAsia="Times New Roman" w:hAnsi="Calibri"/>
                <w:color w:val="000000"/>
                <w:kern w:val="0"/>
                <w:sz w:val="24"/>
                <w:szCs w:val="24"/>
                <w:lang w:bidi="ne-NP"/>
                <w14:ligatures w14:val="none"/>
              </w:rPr>
            </w:pPr>
            <w:r w:rsidRPr="00574B83">
              <w:rPr>
                <w:rFonts w:ascii="Calibri" w:eastAsia="Times New Roman" w:hAnsi="Calibri"/>
                <w:color w:val="000000"/>
                <w:kern w:val="0"/>
                <w:sz w:val="24"/>
                <w:szCs w:val="24"/>
                <w:lang w:bidi="ne-NP"/>
                <w14:ligatures w14:val="none"/>
              </w:rPr>
              <w:t>Tile</w:t>
            </w:r>
          </w:p>
        </w:tc>
        <w:tc>
          <w:tcPr>
            <w:tcW w:w="1376" w:type="pct"/>
            <w:hideMark/>
          </w:tcPr>
          <w:p w14:paraId="506EA9C8" w14:textId="77777777" w:rsidR="00574B83" w:rsidRPr="00574B83" w:rsidRDefault="00574B83" w:rsidP="001812A0">
            <w:pPr>
              <w:spacing w:after="160" w:line="259" w:lineRule="auto"/>
              <w:jc w:val="both"/>
              <w:rPr>
                <w:rFonts w:ascii="Calibri" w:eastAsia="Times New Roman" w:hAnsi="Calibri"/>
                <w:color w:val="000000"/>
                <w:kern w:val="0"/>
                <w:sz w:val="24"/>
                <w:szCs w:val="24"/>
                <w:lang w:bidi="ne-NP"/>
                <w14:ligatures w14:val="none"/>
              </w:rPr>
            </w:pPr>
            <w:r w:rsidRPr="00574B83">
              <w:rPr>
                <w:rFonts w:ascii="Calibri" w:eastAsia="Times New Roman" w:hAnsi="Calibri"/>
                <w:color w:val="000000"/>
                <w:kern w:val="0"/>
                <w:sz w:val="24"/>
                <w:szCs w:val="24"/>
                <w:lang w:bidi="ne-NP"/>
                <w14:ligatures w14:val="none"/>
              </w:rPr>
              <w:t>-7.34</w:t>
            </w:r>
          </w:p>
        </w:tc>
      </w:tr>
      <w:tr w:rsidR="00574B83" w:rsidRPr="00574B83" w14:paraId="378D1BFC" w14:textId="77777777" w:rsidTr="001812A0">
        <w:tc>
          <w:tcPr>
            <w:tcW w:w="717" w:type="pct"/>
            <w:hideMark/>
          </w:tcPr>
          <w:p w14:paraId="45201935" w14:textId="77777777" w:rsidR="00574B83" w:rsidRPr="00574B83" w:rsidRDefault="00574B83" w:rsidP="001812A0">
            <w:pPr>
              <w:spacing w:after="160" w:line="259" w:lineRule="auto"/>
              <w:jc w:val="both"/>
              <w:rPr>
                <w:rFonts w:ascii="Calibri" w:eastAsia="Times New Roman" w:hAnsi="Calibri"/>
                <w:color w:val="000000"/>
                <w:kern w:val="0"/>
                <w:sz w:val="24"/>
                <w:szCs w:val="24"/>
                <w:lang w:bidi="ne-NP"/>
                <w14:ligatures w14:val="none"/>
              </w:rPr>
            </w:pPr>
            <w:r w:rsidRPr="00574B83">
              <w:rPr>
                <w:rFonts w:ascii="Calibri" w:eastAsia="Times New Roman" w:hAnsi="Calibri"/>
                <w:color w:val="000000"/>
                <w:kern w:val="0"/>
                <w:sz w:val="24"/>
                <w:szCs w:val="24"/>
                <w:lang w:bidi="ne-NP"/>
                <w14:ligatures w14:val="none"/>
              </w:rPr>
              <w:t>5</w:t>
            </w:r>
          </w:p>
        </w:tc>
        <w:tc>
          <w:tcPr>
            <w:tcW w:w="2907" w:type="pct"/>
            <w:hideMark/>
          </w:tcPr>
          <w:p w14:paraId="7B73D24E" w14:textId="77777777" w:rsidR="00574B83" w:rsidRPr="00574B83" w:rsidRDefault="00574B83" w:rsidP="001812A0">
            <w:pPr>
              <w:spacing w:after="160" w:line="259" w:lineRule="auto"/>
              <w:jc w:val="both"/>
              <w:rPr>
                <w:rFonts w:ascii="Calibri" w:eastAsia="Times New Roman" w:hAnsi="Calibri"/>
                <w:color w:val="000000"/>
                <w:kern w:val="0"/>
                <w:sz w:val="24"/>
                <w:szCs w:val="24"/>
                <w:lang w:bidi="ne-NP"/>
                <w14:ligatures w14:val="none"/>
              </w:rPr>
            </w:pPr>
            <w:r w:rsidRPr="00574B83">
              <w:rPr>
                <w:rFonts w:ascii="Calibri" w:eastAsia="Times New Roman" w:hAnsi="Calibri"/>
                <w:color w:val="000000"/>
                <w:kern w:val="0"/>
                <w:sz w:val="24"/>
                <w:szCs w:val="24"/>
                <w:lang w:bidi="ne-NP"/>
                <w14:ligatures w14:val="none"/>
              </w:rPr>
              <w:t>Mud</w:t>
            </w:r>
          </w:p>
        </w:tc>
        <w:tc>
          <w:tcPr>
            <w:tcW w:w="1376" w:type="pct"/>
            <w:hideMark/>
          </w:tcPr>
          <w:p w14:paraId="2557E230" w14:textId="77777777" w:rsidR="00574B83" w:rsidRPr="00574B83" w:rsidRDefault="00574B83" w:rsidP="001812A0">
            <w:pPr>
              <w:spacing w:after="160" w:line="259" w:lineRule="auto"/>
              <w:jc w:val="both"/>
              <w:rPr>
                <w:rFonts w:ascii="Calibri" w:eastAsia="Times New Roman" w:hAnsi="Calibri"/>
                <w:color w:val="000000"/>
                <w:kern w:val="0"/>
                <w:sz w:val="24"/>
                <w:szCs w:val="24"/>
                <w:lang w:bidi="ne-NP"/>
                <w14:ligatures w14:val="none"/>
              </w:rPr>
            </w:pPr>
            <w:r w:rsidRPr="00574B83">
              <w:rPr>
                <w:rFonts w:ascii="Calibri" w:eastAsia="Times New Roman" w:hAnsi="Calibri"/>
                <w:color w:val="000000"/>
                <w:kern w:val="0"/>
                <w:sz w:val="24"/>
                <w:szCs w:val="24"/>
                <w:lang w:bidi="ne-NP"/>
                <w14:ligatures w14:val="none"/>
              </w:rPr>
              <w:t>-6.95</w:t>
            </w:r>
          </w:p>
        </w:tc>
      </w:tr>
    </w:tbl>
    <w:p w14:paraId="3B777680" w14:textId="0160F8D4" w:rsidR="00574B83" w:rsidRPr="00574B83" w:rsidRDefault="00574B83" w:rsidP="001812A0">
      <w:pPr>
        <w:jc w:val="both"/>
        <w:rPr>
          <w:rFonts w:ascii="Calibri" w:eastAsia="Times New Roman" w:hAnsi="Calibri"/>
          <w:color w:val="000000"/>
          <w:kern w:val="0"/>
          <w:sz w:val="24"/>
          <w:szCs w:val="24"/>
          <w:lang w:bidi="ne-NP"/>
          <w14:ligatures w14:val="none"/>
        </w:rPr>
      </w:pPr>
    </w:p>
    <w:p w14:paraId="729CB88D" w14:textId="77777777" w:rsidR="002475C9" w:rsidRDefault="002475C9" w:rsidP="001812A0">
      <w:pPr>
        <w:jc w:val="both"/>
        <w:rPr>
          <w:rFonts w:ascii="Calibri" w:eastAsia="Times New Roman" w:hAnsi="Calibri"/>
          <w:b/>
          <w:bCs/>
          <w:color w:val="000000"/>
          <w:kern w:val="0"/>
          <w:sz w:val="24"/>
          <w:szCs w:val="24"/>
          <w:lang w:bidi="ne-NP"/>
          <w14:ligatures w14:val="none"/>
        </w:rPr>
      </w:pPr>
    </w:p>
    <w:p w14:paraId="4A406D34" w14:textId="77777777" w:rsidR="002475C9" w:rsidRDefault="002475C9" w:rsidP="001812A0">
      <w:pPr>
        <w:jc w:val="both"/>
        <w:rPr>
          <w:rFonts w:ascii="Calibri" w:eastAsia="Times New Roman" w:hAnsi="Calibri"/>
          <w:b/>
          <w:bCs/>
          <w:color w:val="000000"/>
          <w:kern w:val="0"/>
          <w:sz w:val="24"/>
          <w:szCs w:val="24"/>
          <w:lang w:bidi="ne-NP"/>
          <w14:ligatures w14:val="none"/>
        </w:rPr>
      </w:pPr>
    </w:p>
    <w:p w14:paraId="30F988F8" w14:textId="77777777" w:rsidR="002475C9" w:rsidRDefault="002475C9" w:rsidP="001812A0">
      <w:pPr>
        <w:jc w:val="both"/>
        <w:rPr>
          <w:rFonts w:ascii="Calibri" w:eastAsia="Times New Roman" w:hAnsi="Calibri"/>
          <w:b/>
          <w:bCs/>
          <w:color w:val="000000"/>
          <w:kern w:val="0"/>
          <w:sz w:val="24"/>
          <w:szCs w:val="24"/>
          <w:lang w:bidi="ne-NP"/>
          <w14:ligatures w14:val="none"/>
        </w:rPr>
      </w:pPr>
    </w:p>
    <w:p w14:paraId="7109F22D" w14:textId="73572E6B" w:rsidR="00574B83" w:rsidRPr="00574B83" w:rsidRDefault="00574B83" w:rsidP="001812A0">
      <w:pPr>
        <w:jc w:val="both"/>
        <w:rPr>
          <w:rFonts w:ascii="Calibri" w:eastAsia="Times New Roman" w:hAnsi="Calibri"/>
          <w:b/>
          <w:bCs/>
          <w:color w:val="000000"/>
          <w:kern w:val="0"/>
          <w:sz w:val="24"/>
          <w:szCs w:val="24"/>
          <w:lang w:bidi="ne-NP"/>
          <w14:ligatures w14:val="none"/>
        </w:rPr>
      </w:pPr>
      <w:r w:rsidRPr="00574B83">
        <w:rPr>
          <w:rFonts w:ascii="Calibri" w:eastAsia="Times New Roman" w:hAnsi="Calibri"/>
          <w:b/>
          <w:bCs/>
          <w:color w:val="000000"/>
          <w:kern w:val="0"/>
          <w:sz w:val="24"/>
          <w:szCs w:val="24"/>
          <w:lang w:bidi="ne-NP"/>
          <w14:ligatures w14:val="none"/>
        </w:rPr>
        <w:t>4. Price Movement of High-Weight Construction Materials</w:t>
      </w:r>
    </w:p>
    <w:p w14:paraId="61807E88" w14:textId="4D3EAD98" w:rsidR="00527636" w:rsidRDefault="00527636" w:rsidP="001812A0">
      <w:pPr>
        <w:jc w:val="both"/>
        <w:rPr>
          <w:rFonts w:ascii="Calibri" w:eastAsia="Times New Roman" w:hAnsi="Calibri"/>
          <w:color w:val="000000"/>
          <w:kern w:val="0"/>
          <w:sz w:val="24"/>
          <w:szCs w:val="24"/>
          <w:lang w:bidi="ne-NP"/>
          <w14:ligatures w14:val="none"/>
        </w:rPr>
      </w:pPr>
      <w:r w:rsidRPr="00D03E73">
        <w:rPr>
          <w:rFonts w:ascii="Calibri" w:eastAsia="Times New Roman" w:hAnsi="Calibri"/>
          <w:color w:val="000000"/>
          <w:kern w:val="0"/>
          <w:sz w:val="24"/>
          <w:szCs w:val="24"/>
          <w:lang w:bidi="ne-NP"/>
          <w14:ligatures w14:val="none"/>
        </w:rPr>
        <w:t xml:space="preserve">High-weight construction materials showed a mixed trend. Indices for cement, iron rod, concrete, wood, sand, and mud declined, while GI pipes, GI </w:t>
      </w:r>
      <w:r w:rsidR="00D03E73">
        <w:rPr>
          <w:rFonts w:ascii="Calibri" w:eastAsia="Times New Roman" w:hAnsi="Calibri"/>
          <w:color w:val="000000"/>
          <w:kern w:val="0"/>
          <w:sz w:val="24"/>
          <w:szCs w:val="24"/>
          <w:lang w:bidi="ne-NP"/>
          <w14:ligatures w14:val="none"/>
        </w:rPr>
        <w:t xml:space="preserve">½ </w:t>
      </w:r>
      <w:r w:rsidRPr="00D03E73">
        <w:rPr>
          <w:rFonts w:ascii="Calibri" w:eastAsia="Times New Roman" w:hAnsi="Calibri"/>
          <w:color w:val="000000"/>
          <w:kern w:val="0"/>
          <w:sz w:val="24"/>
          <w:szCs w:val="24"/>
          <w:lang w:bidi="ne-NP"/>
          <w14:ligatures w14:val="none"/>
        </w:rPr>
        <w:t>inch pipes, and electric wire increased. These movements had offsetting effects on the overall index.</w:t>
      </w:r>
    </w:p>
    <w:tbl>
      <w:tblPr>
        <w:tblStyle w:val="TableGrid"/>
        <w:tblW w:w="0" w:type="auto"/>
        <w:tblLook w:val="04A0" w:firstRow="1" w:lastRow="0" w:firstColumn="1" w:lastColumn="0" w:noHBand="0" w:noVBand="1"/>
      </w:tblPr>
      <w:tblGrid>
        <w:gridCol w:w="616"/>
        <w:gridCol w:w="2517"/>
        <w:gridCol w:w="940"/>
        <w:gridCol w:w="2057"/>
        <w:gridCol w:w="2057"/>
        <w:gridCol w:w="1163"/>
      </w:tblGrid>
      <w:tr w:rsidR="001D5CFF" w:rsidRPr="001D5CFF" w14:paraId="4118AE85" w14:textId="77777777" w:rsidTr="00117D23">
        <w:tc>
          <w:tcPr>
            <w:tcW w:w="0" w:type="auto"/>
            <w:shd w:val="clear" w:color="auto" w:fill="DEEAF6" w:themeFill="accent5" w:themeFillTint="33"/>
            <w:hideMark/>
          </w:tcPr>
          <w:p w14:paraId="7910199B" w14:textId="77777777" w:rsidR="001D5CFF" w:rsidRPr="001D5CFF" w:rsidRDefault="001D5CFF" w:rsidP="00117D23">
            <w:pPr>
              <w:spacing w:after="160" w:line="259" w:lineRule="auto"/>
              <w:jc w:val="center"/>
              <w:rPr>
                <w:rFonts w:ascii="Calibri" w:eastAsia="Times New Roman" w:hAnsi="Calibri"/>
                <w:b/>
                <w:bCs/>
                <w:color w:val="000000"/>
                <w:kern w:val="0"/>
                <w:sz w:val="24"/>
                <w:szCs w:val="24"/>
                <w:lang w:bidi="ne-NP"/>
                <w14:ligatures w14:val="none"/>
              </w:rPr>
            </w:pPr>
            <w:r w:rsidRPr="001D5CFF">
              <w:rPr>
                <w:rFonts w:ascii="Calibri" w:eastAsia="Times New Roman" w:hAnsi="Calibri"/>
                <w:b/>
                <w:bCs/>
                <w:color w:val="000000"/>
                <w:kern w:val="0"/>
                <w:sz w:val="24"/>
                <w:szCs w:val="24"/>
                <w:lang w:bidi="ne-NP"/>
                <w14:ligatures w14:val="none"/>
              </w:rPr>
              <w:t>S.N.</w:t>
            </w:r>
          </w:p>
        </w:tc>
        <w:tc>
          <w:tcPr>
            <w:tcW w:w="0" w:type="auto"/>
            <w:shd w:val="clear" w:color="auto" w:fill="DEEAF6" w:themeFill="accent5" w:themeFillTint="33"/>
            <w:hideMark/>
          </w:tcPr>
          <w:p w14:paraId="79B34145" w14:textId="77777777" w:rsidR="001D5CFF" w:rsidRPr="001D5CFF" w:rsidRDefault="001D5CFF" w:rsidP="00117D23">
            <w:pPr>
              <w:spacing w:after="160" w:line="259" w:lineRule="auto"/>
              <w:jc w:val="center"/>
              <w:rPr>
                <w:rFonts w:ascii="Calibri" w:eastAsia="Times New Roman" w:hAnsi="Calibri"/>
                <w:b/>
                <w:bCs/>
                <w:color w:val="000000"/>
                <w:kern w:val="0"/>
                <w:sz w:val="24"/>
                <w:szCs w:val="24"/>
                <w:lang w:bidi="ne-NP"/>
                <w14:ligatures w14:val="none"/>
              </w:rPr>
            </w:pPr>
            <w:r w:rsidRPr="001D5CFF">
              <w:rPr>
                <w:rFonts w:ascii="Calibri" w:eastAsia="Times New Roman" w:hAnsi="Calibri"/>
                <w:b/>
                <w:bCs/>
                <w:color w:val="000000"/>
                <w:kern w:val="0"/>
                <w:sz w:val="24"/>
                <w:szCs w:val="24"/>
                <w:lang w:bidi="ne-NP"/>
                <w14:ligatures w14:val="none"/>
              </w:rPr>
              <w:t>Construction Materials</w:t>
            </w:r>
          </w:p>
        </w:tc>
        <w:tc>
          <w:tcPr>
            <w:tcW w:w="0" w:type="auto"/>
            <w:shd w:val="clear" w:color="auto" w:fill="DEEAF6" w:themeFill="accent5" w:themeFillTint="33"/>
            <w:hideMark/>
          </w:tcPr>
          <w:p w14:paraId="6CDBFEE8" w14:textId="77777777" w:rsidR="001D5CFF" w:rsidRPr="001D5CFF" w:rsidRDefault="001D5CFF" w:rsidP="00117D23">
            <w:pPr>
              <w:spacing w:after="160" w:line="259" w:lineRule="auto"/>
              <w:jc w:val="center"/>
              <w:rPr>
                <w:rFonts w:ascii="Calibri" w:eastAsia="Times New Roman" w:hAnsi="Calibri"/>
                <w:b/>
                <w:bCs/>
                <w:color w:val="000000"/>
                <w:kern w:val="0"/>
                <w:sz w:val="24"/>
                <w:szCs w:val="24"/>
                <w:lang w:bidi="ne-NP"/>
                <w14:ligatures w14:val="none"/>
              </w:rPr>
            </w:pPr>
            <w:r w:rsidRPr="001D5CFF">
              <w:rPr>
                <w:rFonts w:ascii="Calibri" w:eastAsia="Times New Roman" w:hAnsi="Calibri"/>
                <w:b/>
                <w:bCs/>
                <w:color w:val="000000"/>
                <w:kern w:val="0"/>
                <w:sz w:val="24"/>
                <w:szCs w:val="24"/>
                <w:lang w:bidi="ne-NP"/>
                <w14:ligatures w14:val="none"/>
              </w:rPr>
              <w:t>Weight</w:t>
            </w:r>
          </w:p>
        </w:tc>
        <w:tc>
          <w:tcPr>
            <w:tcW w:w="0" w:type="auto"/>
            <w:shd w:val="clear" w:color="auto" w:fill="DEEAF6" w:themeFill="accent5" w:themeFillTint="33"/>
            <w:hideMark/>
          </w:tcPr>
          <w:p w14:paraId="4ECEFA73" w14:textId="2B47A757" w:rsidR="001D5CFF" w:rsidRPr="001D5CFF" w:rsidRDefault="001D5CFF" w:rsidP="00117D23">
            <w:pPr>
              <w:spacing w:after="160" w:line="259" w:lineRule="auto"/>
              <w:jc w:val="center"/>
              <w:rPr>
                <w:rFonts w:ascii="Calibri" w:eastAsia="Times New Roman" w:hAnsi="Calibri"/>
                <w:b/>
                <w:bCs/>
                <w:color w:val="000000"/>
                <w:kern w:val="0"/>
                <w:sz w:val="24"/>
                <w:szCs w:val="24"/>
                <w:lang w:bidi="ne-NP"/>
                <w14:ligatures w14:val="none"/>
              </w:rPr>
            </w:pPr>
            <w:r w:rsidRPr="001D5CFF">
              <w:rPr>
                <w:rFonts w:ascii="Calibri" w:eastAsia="Times New Roman" w:hAnsi="Calibri"/>
                <w:b/>
                <w:bCs/>
                <w:color w:val="000000"/>
                <w:kern w:val="0"/>
                <w:sz w:val="24"/>
                <w:szCs w:val="24"/>
                <w:lang w:bidi="ne-NP"/>
                <w14:ligatures w14:val="none"/>
              </w:rPr>
              <w:t>Index</w:t>
            </w:r>
            <w:r w:rsidR="00A93CF8">
              <w:rPr>
                <w:rFonts w:ascii="Calibri" w:eastAsia="Times New Roman" w:hAnsi="Calibri"/>
                <w:b/>
                <w:bCs/>
                <w:color w:val="000000"/>
                <w:kern w:val="0"/>
                <w:sz w:val="24"/>
                <w:szCs w:val="24"/>
                <w:lang w:bidi="ne-NP"/>
                <w14:ligatures w14:val="none"/>
              </w:rPr>
              <w:t xml:space="preserve"> </w:t>
            </w:r>
            <w:r w:rsidRPr="001D5CFF">
              <w:rPr>
                <w:rFonts w:ascii="Calibri" w:eastAsia="Times New Roman" w:hAnsi="Calibri"/>
                <w:b/>
                <w:bCs/>
                <w:color w:val="000000"/>
                <w:kern w:val="0"/>
                <w:sz w:val="24"/>
                <w:szCs w:val="24"/>
                <w:lang w:bidi="ne-NP"/>
                <w14:ligatures w14:val="none"/>
              </w:rPr>
              <w:t>(2082/83 Q1)</w:t>
            </w:r>
          </w:p>
        </w:tc>
        <w:tc>
          <w:tcPr>
            <w:tcW w:w="0" w:type="auto"/>
            <w:shd w:val="clear" w:color="auto" w:fill="DEEAF6" w:themeFill="accent5" w:themeFillTint="33"/>
            <w:hideMark/>
          </w:tcPr>
          <w:p w14:paraId="756AE477" w14:textId="77777777" w:rsidR="001D5CFF" w:rsidRPr="001D5CFF" w:rsidRDefault="001D5CFF" w:rsidP="00117D23">
            <w:pPr>
              <w:spacing w:after="160" w:line="259" w:lineRule="auto"/>
              <w:jc w:val="center"/>
              <w:rPr>
                <w:rFonts w:ascii="Calibri" w:eastAsia="Times New Roman" w:hAnsi="Calibri"/>
                <w:b/>
                <w:bCs/>
                <w:color w:val="000000"/>
                <w:kern w:val="0"/>
                <w:sz w:val="24"/>
                <w:szCs w:val="24"/>
                <w:lang w:bidi="ne-NP"/>
                <w14:ligatures w14:val="none"/>
              </w:rPr>
            </w:pPr>
            <w:r w:rsidRPr="001D5CFF">
              <w:rPr>
                <w:rFonts w:ascii="Calibri" w:eastAsia="Times New Roman" w:hAnsi="Calibri"/>
                <w:b/>
                <w:bCs/>
                <w:color w:val="000000"/>
                <w:kern w:val="0"/>
                <w:sz w:val="24"/>
                <w:szCs w:val="24"/>
                <w:lang w:bidi="ne-NP"/>
                <w14:ligatures w14:val="none"/>
              </w:rPr>
              <w:t>Index (2082/83 Q2)</w:t>
            </w:r>
          </w:p>
        </w:tc>
        <w:tc>
          <w:tcPr>
            <w:tcW w:w="0" w:type="auto"/>
            <w:shd w:val="clear" w:color="auto" w:fill="DEEAF6" w:themeFill="accent5" w:themeFillTint="33"/>
            <w:hideMark/>
          </w:tcPr>
          <w:p w14:paraId="20CBAF81" w14:textId="77777777" w:rsidR="001D5CFF" w:rsidRPr="001D5CFF" w:rsidRDefault="001D5CFF" w:rsidP="00117D23">
            <w:pPr>
              <w:spacing w:after="160" w:line="259" w:lineRule="auto"/>
              <w:jc w:val="center"/>
              <w:rPr>
                <w:rFonts w:ascii="Calibri" w:eastAsia="Times New Roman" w:hAnsi="Calibri"/>
                <w:b/>
                <w:bCs/>
                <w:color w:val="000000"/>
                <w:kern w:val="0"/>
                <w:sz w:val="24"/>
                <w:szCs w:val="24"/>
                <w:lang w:bidi="ne-NP"/>
                <w14:ligatures w14:val="none"/>
              </w:rPr>
            </w:pPr>
            <w:r w:rsidRPr="001D5CFF">
              <w:rPr>
                <w:rFonts w:ascii="Calibri" w:eastAsia="Times New Roman" w:hAnsi="Calibri"/>
                <w:b/>
                <w:bCs/>
                <w:color w:val="000000"/>
                <w:kern w:val="0"/>
                <w:sz w:val="24"/>
                <w:szCs w:val="24"/>
                <w:lang w:bidi="ne-NP"/>
                <w14:ligatures w14:val="none"/>
              </w:rPr>
              <w:t>% Change</w:t>
            </w:r>
          </w:p>
        </w:tc>
      </w:tr>
      <w:tr w:rsidR="001D5CFF" w:rsidRPr="001D5CFF" w14:paraId="7CFED86D" w14:textId="77777777" w:rsidTr="001D5CFF">
        <w:tc>
          <w:tcPr>
            <w:tcW w:w="0" w:type="auto"/>
            <w:hideMark/>
          </w:tcPr>
          <w:p w14:paraId="6AEC092B" w14:textId="77777777" w:rsidR="001D5CFF" w:rsidRPr="001D5CFF" w:rsidRDefault="001D5CFF" w:rsidP="001D5CFF">
            <w:pPr>
              <w:spacing w:after="160" w:line="259" w:lineRule="auto"/>
              <w:jc w:val="both"/>
              <w:rPr>
                <w:rFonts w:ascii="Calibri" w:eastAsia="Times New Roman" w:hAnsi="Calibri"/>
                <w:color w:val="000000"/>
                <w:kern w:val="0"/>
                <w:sz w:val="24"/>
                <w:szCs w:val="24"/>
                <w:lang w:bidi="ne-NP"/>
                <w14:ligatures w14:val="none"/>
              </w:rPr>
            </w:pPr>
            <w:r w:rsidRPr="001D5CFF">
              <w:rPr>
                <w:rFonts w:ascii="Calibri" w:eastAsia="Times New Roman" w:hAnsi="Calibri"/>
                <w:color w:val="000000"/>
                <w:kern w:val="0"/>
                <w:sz w:val="24"/>
                <w:szCs w:val="24"/>
                <w:lang w:bidi="ne-NP"/>
                <w14:ligatures w14:val="none"/>
              </w:rPr>
              <w:lastRenderedPageBreak/>
              <w:t>1</w:t>
            </w:r>
          </w:p>
        </w:tc>
        <w:tc>
          <w:tcPr>
            <w:tcW w:w="0" w:type="auto"/>
            <w:hideMark/>
          </w:tcPr>
          <w:p w14:paraId="7C28A330" w14:textId="77777777" w:rsidR="001D5CFF" w:rsidRPr="001D5CFF" w:rsidRDefault="001D5CFF" w:rsidP="001D5CFF">
            <w:pPr>
              <w:spacing w:after="160" w:line="259" w:lineRule="auto"/>
              <w:jc w:val="both"/>
              <w:rPr>
                <w:rFonts w:ascii="Calibri" w:eastAsia="Times New Roman" w:hAnsi="Calibri"/>
                <w:color w:val="000000"/>
                <w:kern w:val="0"/>
                <w:sz w:val="24"/>
                <w:szCs w:val="24"/>
                <w:lang w:bidi="ne-NP"/>
                <w14:ligatures w14:val="none"/>
              </w:rPr>
            </w:pPr>
            <w:r w:rsidRPr="001D5CFF">
              <w:rPr>
                <w:rFonts w:ascii="Calibri" w:eastAsia="Times New Roman" w:hAnsi="Calibri"/>
                <w:color w:val="000000"/>
                <w:kern w:val="0"/>
                <w:sz w:val="24"/>
                <w:szCs w:val="24"/>
                <w:lang w:bidi="ne-NP"/>
                <w14:ligatures w14:val="none"/>
              </w:rPr>
              <w:t>Cement</w:t>
            </w:r>
          </w:p>
        </w:tc>
        <w:tc>
          <w:tcPr>
            <w:tcW w:w="0" w:type="auto"/>
            <w:hideMark/>
          </w:tcPr>
          <w:p w14:paraId="3E097048" w14:textId="77777777" w:rsidR="001D5CFF" w:rsidRPr="001D5CFF" w:rsidRDefault="001D5CFF" w:rsidP="001D5CFF">
            <w:pPr>
              <w:spacing w:after="160" w:line="259" w:lineRule="auto"/>
              <w:jc w:val="both"/>
              <w:rPr>
                <w:rFonts w:ascii="Calibri" w:eastAsia="Times New Roman" w:hAnsi="Calibri"/>
                <w:color w:val="000000"/>
                <w:kern w:val="0"/>
                <w:sz w:val="24"/>
                <w:szCs w:val="24"/>
                <w:lang w:bidi="ne-NP"/>
                <w14:ligatures w14:val="none"/>
              </w:rPr>
            </w:pPr>
            <w:r w:rsidRPr="001D5CFF">
              <w:rPr>
                <w:rFonts w:ascii="Calibri" w:eastAsia="Times New Roman" w:hAnsi="Calibri"/>
                <w:color w:val="000000"/>
                <w:kern w:val="0"/>
                <w:sz w:val="24"/>
                <w:szCs w:val="24"/>
                <w:lang w:bidi="ne-NP"/>
                <w14:ligatures w14:val="none"/>
              </w:rPr>
              <w:t>19.31</w:t>
            </w:r>
          </w:p>
        </w:tc>
        <w:tc>
          <w:tcPr>
            <w:tcW w:w="0" w:type="auto"/>
            <w:hideMark/>
          </w:tcPr>
          <w:p w14:paraId="0B256023" w14:textId="77777777" w:rsidR="001D5CFF" w:rsidRPr="001D5CFF" w:rsidRDefault="001D5CFF" w:rsidP="001D5CFF">
            <w:pPr>
              <w:spacing w:after="160" w:line="259" w:lineRule="auto"/>
              <w:jc w:val="both"/>
              <w:rPr>
                <w:rFonts w:ascii="Calibri" w:eastAsia="Times New Roman" w:hAnsi="Calibri"/>
                <w:color w:val="000000"/>
                <w:kern w:val="0"/>
                <w:sz w:val="24"/>
                <w:szCs w:val="24"/>
                <w:lang w:bidi="ne-NP"/>
                <w14:ligatures w14:val="none"/>
              </w:rPr>
            </w:pPr>
            <w:r w:rsidRPr="001D5CFF">
              <w:rPr>
                <w:rFonts w:ascii="Calibri" w:eastAsia="Times New Roman" w:hAnsi="Calibri"/>
                <w:color w:val="000000"/>
                <w:kern w:val="0"/>
                <w:sz w:val="24"/>
                <w:szCs w:val="24"/>
                <w:lang w:bidi="ne-NP"/>
                <w14:ligatures w14:val="none"/>
              </w:rPr>
              <w:t>100.9</w:t>
            </w:r>
          </w:p>
        </w:tc>
        <w:tc>
          <w:tcPr>
            <w:tcW w:w="0" w:type="auto"/>
            <w:hideMark/>
          </w:tcPr>
          <w:p w14:paraId="33E5DA5C" w14:textId="77777777" w:rsidR="001D5CFF" w:rsidRPr="001D5CFF" w:rsidRDefault="001D5CFF" w:rsidP="001D5CFF">
            <w:pPr>
              <w:spacing w:after="160" w:line="259" w:lineRule="auto"/>
              <w:jc w:val="both"/>
              <w:rPr>
                <w:rFonts w:ascii="Calibri" w:eastAsia="Times New Roman" w:hAnsi="Calibri"/>
                <w:color w:val="000000"/>
                <w:kern w:val="0"/>
                <w:sz w:val="24"/>
                <w:szCs w:val="24"/>
                <w:lang w:bidi="ne-NP"/>
                <w14:ligatures w14:val="none"/>
              </w:rPr>
            </w:pPr>
            <w:r w:rsidRPr="001D5CFF">
              <w:rPr>
                <w:rFonts w:ascii="Calibri" w:eastAsia="Times New Roman" w:hAnsi="Calibri"/>
                <w:color w:val="000000"/>
                <w:kern w:val="0"/>
                <w:sz w:val="24"/>
                <w:szCs w:val="24"/>
                <w:lang w:bidi="ne-NP"/>
                <w14:ligatures w14:val="none"/>
              </w:rPr>
              <w:t>100.4</w:t>
            </w:r>
          </w:p>
        </w:tc>
        <w:tc>
          <w:tcPr>
            <w:tcW w:w="0" w:type="auto"/>
            <w:hideMark/>
          </w:tcPr>
          <w:p w14:paraId="13F6C561" w14:textId="77777777" w:rsidR="001D5CFF" w:rsidRPr="001D5CFF" w:rsidRDefault="001D5CFF" w:rsidP="001D5CFF">
            <w:pPr>
              <w:spacing w:after="160" w:line="259" w:lineRule="auto"/>
              <w:jc w:val="both"/>
              <w:rPr>
                <w:rFonts w:ascii="Calibri" w:eastAsia="Times New Roman" w:hAnsi="Calibri"/>
                <w:color w:val="000000"/>
                <w:kern w:val="0"/>
                <w:sz w:val="24"/>
                <w:szCs w:val="24"/>
                <w:lang w:bidi="ne-NP"/>
                <w14:ligatures w14:val="none"/>
              </w:rPr>
            </w:pPr>
            <w:r w:rsidRPr="001D5CFF">
              <w:rPr>
                <w:rFonts w:ascii="Calibri" w:eastAsia="Times New Roman" w:hAnsi="Calibri"/>
                <w:color w:val="000000"/>
                <w:kern w:val="0"/>
                <w:sz w:val="24"/>
                <w:szCs w:val="24"/>
                <w:lang w:bidi="ne-NP"/>
                <w14:ligatures w14:val="none"/>
              </w:rPr>
              <w:t>-0.49</w:t>
            </w:r>
          </w:p>
        </w:tc>
      </w:tr>
      <w:tr w:rsidR="001D5CFF" w:rsidRPr="001D5CFF" w14:paraId="1CFA6168" w14:textId="77777777" w:rsidTr="001D5CFF">
        <w:tc>
          <w:tcPr>
            <w:tcW w:w="0" w:type="auto"/>
            <w:hideMark/>
          </w:tcPr>
          <w:p w14:paraId="57C1C4A8" w14:textId="77777777" w:rsidR="001D5CFF" w:rsidRPr="001D5CFF" w:rsidRDefault="001D5CFF" w:rsidP="001D5CFF">
            <w:pPr>
              <w:spacing w:after="160" w:line="259" w:lineRule="auto"/>
              <w:jc w:val="both"/>
              <w:rPr>
                <w:rFonts w:ascii="Calibri" w:eastAsia="Times New Roman" w:hAnsi="Calibri"/>
                <w:color w:val="000000"/>
                <w:kern w:val="0"/>
                <w:sz w:val="24"/>
                <w:szCs w:val="24"/>
                <w:lang w:bidi="ne-NP"/>
                <w14:ligatures w14:val="none"/>
              </w:rPr>
            </w:pPr>
            <w:r w:rsidRPr="001D5CFF">
              <w:rPr>
                <w:rFonts w:ascii="Calibri" w:eastAsia="Times New Roman" w:hAnsi="Calibri"/>
                <w:color w:val="000000"/>
                <w:kern w:val="0"/>
                <w:sz w:val="24"/>
                <w:szCs w:val="24"/>
                <w:lang w:bidi="ne-NP"/>
                <w14:ligatures w14:val="none"/>
              </w:rPr>
              <w:t>2</w:t>
            </w:r>
          </w:p>
        </w:tc>
        <w:tc>
          <w:tcPr>
            <w:tcW w:w="0" w:type="auto"/>
            <w:hideMark/>
          </w:tcPr>
          <w:p w14:paraId="3FA252FF" w14:textId="77777777" w:rsidR="001D5CFF" w:rsidRPr="001D5CFF" w:rsidRDefault="001D5CFF" w:rsidP="001D5CFF">
            <w:pPr>
              <w:spacing w:after="160" w:line="259" w:lineRule="auto"/>
              <w:jc w:val="both"/>
              <w:rPr>
                <w:rFonts w:ascii="Calibri" w:eastAsia="Times New Roman" w:hAnsi="Calibri"/>
                <w:color w:val="000000"/>
                <w:kern w:val="0"/>
                <w:sz w:val="24"/>
                <w:szCs w:val="24"/>
                <w:lang w:bidi="ne-NP"/>
                <w14:ligatures w14:val="none"/>
              </w:rPr>
            </w:pPr>
            <w:r w:rsidRPr="001D5CFF">
              <w:rPr>
                <w:rFonts w:ascii="Calibri" w:eastAsia="Times New Roman" w:hAnsi="Calibri"/>
                <w:color w:val="000000"/>
                <w:kern w:val="0"/>
                <w:sz w:val="24"/>
                <w:szCs w:val="24"/>
                <w:lang w:bidi="ne-NP"/>
                <w14:ligatures w14:val="none"/>
              </w:rPr>
              <w:t>Bricks/Stones/Concrete</w:t>
            </w:r>
          </w:p>
        </w:tc>
        <w:tc>
          <w:tcPr>
            <w:tcW w:w="0" w:type="auto"/>
            <w:hideMark/>
          </w:tcPr>
          <w:p w14:paraId="5156E50A" w14:textId="77777777" w:rsidR="001D5CFF" w:rsidRPr="001D5CFF" w:rsidRDefault="001D5CFF" w:rsidP="001D5CFF">
            <w:pPr>
              <w:spacing w:after="160" w:line="259" w:lineRule="auto"/>
              <w:jc w:val="both"/>
              <w:rPr>
                <w:rFonts w:ascii="Calibri" w:eastAsia="Times New Roman" w:hAnsi="Calibri"/>
                <w:color w:val="000000"/>
                <w:kern w:val="0"/>
                <w:sz w:val="24"/>
                <w:szCs w:val="24"/>
                <w:lang w:bidi="ne-NP"/>
                <w14:ligatures w14:val="none"/>
              </w:rPr>
            </w:pPr>
            <w:r w:rsidRPr="001D5CFF">
              <w:rPr>
                <w:rFonts w:ascii="Calibri" w:eastAsia="Times New Roman" w:hAnsi="Calibri"/>
                <w:color w:val="000000"/>
                <w:kern w:val="0"/>
                <w:sz w:val="24"/>
                <w:szCs w:val="24"/>
                <w:lang w:bidi="ne-NP"/>
                <w14:ligatures w14:val="none"/>
              </w:rPr>
              <w:t>21.78</w:t>
            </w:r>
          </w:p>
        </w:tc>
        <w:tc>
          <w:tcPr>
            <w:tcW w:w="0" w:type="auto"/>
            <w:hideMark/>
          </w:tcPr>
          <w:p w14:paraId="0D9D99C3" w14:textId="77777777" w:rsidR="001D5CFF" w:rsidRPr="001D5CFF" w:rsidRDefault="001D5CFF" w:rsidP="001D5CFF">
            <w:pPr>
              <w:spacing w:after="160" w:line="259" w:lineRule="auto"/>
              <w:jc w:val="both"/>
              <w:rPr>
                <w:rFonts w:ascii="Calibri" w:eastAsia="Times New Roman" w:hAnsi="Calibri"/>
                <w:color w:val="000000"/>
                <w:kern w:val="0"/>
                <w:sz w:val="24"/>
                <w:szCs w:val="24"/>
                <w:lang w:bidi="ne-NP"/>
                <w14:ligatures w14:val="none"/>
              </w:rPr>
            </w:pPr>
            <w:r w:rsidRPr="001D5CFF">
              <w:rPr>
                <w:rFonts w:ascii="Calibri" w:eastAsia="Times New Roman" w:hAnsi="Calibri"/>
                <w:color w:val="000000"/>
                <w:kern w:val="0"/>
                <w:sz w:val="24"/>
                <w:szCs w:val="24"/>
                <w:lang w:bidi="ne-NP"/>
                <w14:ligatures w14:val="none"/>
              </w:rPr>
              <w:t>132.5</w:t>
            </w:r>
          </w:p>
        </w:tc>
        <w:tc>
          <w:tcPr>
            <w:tcW w:w="0" w:type="auto"/>
            <w:hideMark/>
          </w:tcPr>
          <w:p w14:paraId="72207B3E" w14:textId="77777777" w:rsidR="001D5CFF" w:rsidRPr="001D5CFF" w:rsidRDefault="001D5CFF" w:rsidP="001D5CFF">
            <w:pPr>
              <w:spacing w:after="160" w:line="259" w:lineRule="auto"/>
              <w:jc w:val="both"/>
              <w:rPr>
                <w:rFonts w:ascii="Calibri" w:eastAsia="Times New Roman" w:hAnsi="Calibri"/>
                <w:color w:val="000000"/>
                <w:kern w:val="0"/>
                <w:sz w:val="24"/>
                <w:szCs w:val="24"/>
                <w:lang w:bidi="ne-NP"/>
                <w14:ligatures w14:val="none"/>
              </w:rPr>
            </w:pPr>
            <w:r w:rsidRPr="001D5CFF">
              <w:rPr>
                <w:rFonts w:ascii="Calibri" w:eastAsia="Times New Roman" w:hAnsi="Calibri"/>
                <w:color w:val="000000"/>
                <w:kern w:val="0"/>
                <w:sz w:val="24"/>
                <w:szCs w:val="24"/>
                <w:lang w:bidi="ne-NP"/>
                <w14:ligatures w14:val="none"/>
              </w:rPr>
              <w:t>133.1</w:t>
            </w:r>
          </w:p>
        </w:tc>
        <w:tc>
          <w:tcPr>
            <w:tcW w:w="0" w:type="auto"/>
            <w:hideMark/>
          </w:tcPr>
          <w:p w14:paraId="6324FC92" w14:textId="77777777" w:rsidR="001D5CFF" w:rsidRPr="001D5CFF" w:rsidRDefault="001D5CFF" w:rsidP="001D5CFF">
            <w:pPr>
              <w:spacing w:after="160" w:line="259" w:lineRule="auto"/>
              <w:jc w:val="both"/>
              <w:rPr>
                <w:rFonts w:ascii="Calibri" w:eastAsia="Times New Roman" w:hAnsi="Calibri"/>
                <w:color w:val="000000"/>
                <w:kern w:val="0"/>
                <w:sz w:val="24"/>
                <w:szCs w:val="24"/>
                <w:lang w:bidi="ne-NP"/>
                <w14:ligatures w14:val="none"/>
              </w:rPr>
            </w:pPr>
            <w:r w:rsidRPr="001D5CFF">
              <w:rPr>
                <w:rFonts w:ascii="Calibri" w:eastAsia="Times New Roman" w:hAnsi="Calibri"/>
                <w:color w:val="000000"/>
                <w:kern w:val="0"/>
                <w:sz w:val="24"/>
                <w:szCs w:val="24"/>
                <w:lang w:bidi="ne-NP"/>
                <w14:ligatures w14:val="none"/>
              </w:rPr>
              <w:t>0.45</w:t>
            </w:r>
          </w:p>
        </w:tc>
      </w:tr>
      <w:tr w:rsidR="001D5CFF" w:rsidRPr="001D5CFF" w14:paraId="29CAF589" w14:textId="77777777" w:rsidTr="001D5CFF">
        <w:tc>
          <w:tcPr>
            <w:tcW w:w="0" w:type="auto"/>
            <w:hideMark/>
          </w:tcPr>
          <w:p w14:paraId="4C7789A1" w14:textId="77777777" w:rsidR="001D5CFF" w:rsidRPr="001D5CFF" w:rsidRDefault="001D5CFF" w:rsidP="001D5CFF">
            <w:pPr>
              <w:spacing w:after="160" w:line="259" w:lineRule="auto"/>
              <w:jc w:val="both"/>
              <w:rPr>
                <w:rFonts w:ascii="Calibri" w:eastAsia="Times New Roman" w:hAnsi="Calibri"/>
                <w:color w:val="000000"/>
                <w:kern w:val="0"/>
                <w:sz w:val="24"/>
                <w:szCs w:val="24"/>
                <w:lang w:bidi="ne-NP"/>
                <w14:ligatures w14:val="none"/>
              </w:rPr>
            </w:pPr>
            <w:r w:rsidRPr="001D5CFF">
              <w:rPr>
                <w:rFonts w:ascii="Calibri" w:eastAsia="Times New Roman" w:hAnsi="Calibri"/>
                <w:color w:val="000000"/>
                <w:kern w:val="0"/>
                <w:sz w:val="24"/>
                <w:szCs w:val="24"/>
                <w:lang w:bidi="ne-NP"/>
                <w14:ligatures w14:val="none"/>
              </w:rPr>
              <w:t>3</w:t>
            </w:r>
          </w:p>
        </w:tc>
        <w:tc>
          <w:tcPr>
            <w:tcW w:w="0" w:type="auto"/>
            <w:hideMark/>
          </w:tcPr>
          <w:p w14:paraId="20E7BDD5" w14:textId="77777777" w:rsidR="001D5CFF" w:rsidRPr="001D5CFF" w:rsidRDefault="001D5CFF" w:rsidP="001D5CFF">
            <w:pPr>
              <w:spacing w:after="160" w:line="259" w:lineRule="auto"/>
              <w:jc w:val="both"/>
              <w:rPr>
                <w:rFonts w:ascii="Calibri" w:eastAsia="Times New Roman" w:hAnsi="Calibri"/>
                <w:color w:val="000000"/>
                <w:kern w:val="0"/>
                <w:sz w:val="24"/>
                <w:szCs w:val="24"/>
                <w:lang w:bidi="ne-NP"/>
                <w14:ligatures w14:val="none"/>
              </w:rPr>
            </w:pPr>
            <w:r w:rsidRPr="001D5CFF">
              <w:rPr>
                <w:rFonts w:ascii="Calibri" w:eastAsia="Times New Roman" w:hAnsi="Calibri"/>
                <w:color w:val="000000"/>
                <w:kern w:val="0"/>
                <w:sz w:val="24"/>
                <w:szCs w:val="24"/>
                <w:lang w:bidi="ne-NP"/>
                <w14:ligatures w14:val="none"/>
              </w:rPr>
              <w:t>Bricks</w:t>
            </w:r>
          </w:p>
        </w:tc>
        <w:tc>
          <w:tcPr>
            <w:tcW w:w="0" w:type="auto"/>
            <w:hideMark/>
          </w:tcPr>
          <w:p w14:paraId="756A4DC5" w14:textId="77777777" w:rsidR="001D5CFF" w:rsidRPr="001D5CFF" w:rsidRDefault="001D5CFF" w:rsidP="001D5CFF">
            <w:pPr>
              <w:spacing w:after="160" w:line="259" w:lineRule="auto"/>
              <w:jc w:val="both"/>
              <w:rPr>
                <w:rFonts w:ascii="Calibri" w:eastAsia="Times New Roman" w:hAnsi="Calibri"/>
                <w:color w:val="000000"/>
                <w:kern w:val="0"/>
                <w:sz w:val="24"/>
                <w:szCs w:val="24"/>
                <w:lang w:bidi="ne-NP"/>
                <w14:ligatures w14:val="none"/>
              </w:rPr>
            </w:pPr>
            <w:r w:rsidRPr="001D5CFF">
              <w:rPr>
                <w:rFonts w:ascii="Calibri" w:eastAsia="Times New Roman" w:hAnsi="Calibri"/>
                <w:color w:val="000000"/>
                <w:kern w:val="0"/>
                <w:sz w:val="24"/>
                <w:szCs w:val="24"/>
                <w:lang w:bidi="ne-NP"/>
                <w14:ligatures w14:val="none"/>
              </w:rPr>
              <w:t>10.89</w:t>
            </w:r>
          </w:p>
        </w:tc>
        <w:tc>
          <w:tcPr>
            <w:tcW w:w="0" w:type="auto"/>
            <w:hideMark/>
          </w:tcPr>
          <w:p w14:paraId="0A368404" w14:textId="77777777" w:rsidR="001D5CFF" w:rsidRPr="001D5CFF" w:rsidRDefault="001D5CFF" w:rsidP="001D5CFF">
            <w:pPr>
              <w:spacing w:after="160" w:line="259" w:lineRule="auto"/>
              <w:jc w:val="both"/>
              <w:rPr>
                <w:rFonts w:ascii="Calibri" w:eastAsia="Times New Roman" w:hAnsi="Calibri"/>
                <w:color w:val="000000"/>
                <w:kern w:val="0"/>
                <w:sz w:val="24"/>
                <w:szCs w:val="24"/>
                <w:lang w:bidi="ne-NP"/>
                <w14:ligatures w14:val="none"/>
              </w:rPr>
            </w:pPr>
            <w:r w:rsidRPr="001D5CFF">
              <w:rPr>
                <w:rFonts w:ascii="Calibri" w:eastAsia="Times New Roman" w:hAnsi="Calibri"/>
                <w:color w:val="000000"/>
                <w:kern w:val="0"/>
                <w:sz w:val="24"/>
                <w:szCs w:val="24"/>
                <w:lang w:bidi="ne-NP"/>
                <w14:ligatures w14:val="none"/>
              </w:rPr>
              <w:t>131.1</w:t>
            </w:r>
          </w:p>
        </w:tc>
        <w:tc>
          <w:tcPr>
            <w:tcW w:w="0" w:type="auto"/>
            <w:hideMark/>
          </w:tcPr>
          <w:p w14:paraId="68735442" w14:textId="77777777" w:rsidR="001D5CFF" w:rsidRPr="001D5CFF" w:rsidRDefault="001D5CFF" w:rsidP="001D5CFF">
            <w:pPr>
              <w:spacing w:after="160" w:line="259" w:lineRule="auto"/>
              <w:jc w:val="both"/>
              <w:rPr>
                <w:rFonts w:ascii="Calibri" w:eastAsia="Times New Roman" w:hAnsi="Calibri"/>
                <w:color w:val="000000"/>
                <w:kern w:val="0"/>
                <w:sz w:val="24"/>
                <w:szCs w:val="24"/>
                <w:lang w:bidi="ne-NP"/>
                <w14:ligatures w14:val="none"/>
              </w:rPr>
            </w:pPr>
            <w:r w:rsidRPr="001D5CFF">
              <w:rPr>
                <w:rFonts w:ascii="Calibri" w:eastAsia="Times New Roman" w:hAnsi="Calibri"/>
                <w:color w:val="000000"/>
                <w:kern w:val="0"/>
                <w:sz w:val="24"/>
                <w:szCs w:val="24"/>
                <w:lang w:bidi="ne-NP"/>
                <w14:ligatures w14:val="none"/>
              </w:rPr>
              <w:t>134.7</w:t>
            </w:r>
          </w:p>
        </w:tc>
        <w:tc>
          <w:tcPr>
            <w:tcW w:w="0" w:type="auto"/>
            <w:hideMark/>
          </w:tcPr>
          <w:p w14:paraId="2B745AC5" w14:textId="77777777" w:rsidR="001D5CFF" w:rsidRPr="001D5CFF" w:rsidRDefault="001D5CFF" w:rsidP="001D5CFF">
            <w:pPr>
              <w:spacing w:after="160" w:line="259" w:lineRule="auto"/>
              <w:jc w:val="both"/>
              <w:rPr>
                <w:rFonts w:ascii="Calibri" w:eastAsia="Times New Roman" w:hAnsi="Calibri"/>
                <w:color w:val="000000"/>
                <w:kern w:val="0"/>
                <w:sz w:val="24"/>
                <w:szCs w:val="24"/>
                <w:lang w:bidi="ne-NP"/>
                <w14:ligatures w14:val="none"/>
              </w:rPr>
            </w:pPr>
            <w:r w:rsidRPr="001D5CFF">
              <w:rPr>
                <w:rFonts w:ascii="Calibri" w:eastAsia="Times New Roman" w:hAnsi="Calibri"/>
                <w:color w:val="000000"/>
                <w:kern w:val="0"/>
                <w:sz w:val="24"/>
                <w:szCs w:val="24"/>
                <w:lang w:bidi="ne-NP"/>
                <w14:ligatures w14:val="none"/>
              </w:rPr>
              <w:t>2.71</w:t>
            </w:r>
          </w:p>
        </w:tc>
      </w:tr>
      <w:tr w:rsidR="001D5CFF" w:rsidRPr="001D5CFF" w14:paraId="3B362B49" w14:textId="77777777" w:rsidTr="001D5CFF">
        <w:tc>
          <w:tcPr>
            <w:tcW w:w="0" w:type="auto"/>
            <w:hideMark/>
          </w:tcPr>
          <w:p w14:paraId="6A3A448F" w14:textId="77777777" w:rsidR="001D5CFF" w:rsidRPr="001D5CFF" w:rsidRDefault="001D5CFF" w:rsidP="001D5CFF">
            <w:pPr>
              <w:spacing w:after="160" w:line="259" w:lineRule="auto"/>
              <w:jc w:val="both"/>
              <w:rPr>
                <w:rFonts w:ascii="Calibri" w:eastAsia="Times New Roman" w:hAnsi="Calibri"/>
                <w:color w:val="000000"/>
                <w:kern w:val="0"/>
                <w:sz w:val="24"/>
                <w:szCs w:val="24"/>
                <w:lang w:bidi="ne-NP"/>
                <w14:ligatures w14:val="none"/>
              </w:rPr>
            </w:pPr>
            <w:r w:rsidRPr="001D5CFF">
              <w:rPr>
                <w:rFonts w:ascii="Calibri" w:eastAsia="Times New Roman" w:hAnsi="Calibri"/>
                <w:color w:val="000000"/>
                <w:kern w:val="0"/>
                <w:sz w:val="24"/>
                <w:szCs w:val="24"/>
                <w:lang w:bidi="ne-NP"/>
                <w14:ligatures w14:val="none"/>
              </w:rPr>
              <w:t>4</w:t>
            </w:r>
          </w:p>
        </w:tc>
        <w:tc>
          <w:tcPr>
            <w:tcW w:w="0" w:type="auto"/>
            <w:hideMark/>
          </w:tcPr>
          <w:p w14:paraId="58652034" w14:textId="77777777" w:rsidR="001D5CFF" w:rsidRPr="001D5CFF" w:rsidRDefault="001D5CFF" w:rsidP="001D5CFF">
            <w:pPr>
              <w:spacing w:after="160" w:line="259" w:lineRule="auto"/>
              <w:jc w:val="both"/>
              <w:rPr>
                <w:rFonts w:ascii="Calibri" w:eastAsia="Times New Roman" w:hAnsi="Calibri"/>
                <w:color w:val="000000"/>
                <w:kern w:val="0"/>
                <w:sz w:val="24"/>
                <w:szCs w:val="24"/>
                <w:lang w:bidi="ne-NP"/>
                <w14:ligatures w14:val="none"/>
              </w:rPr>
            </w:pPr>
            <w:r w:rsidRPr="001D5CFF">
              <w:rPr>
                <w:rFonts w:ascii="Calibri" w:eastAsia="Times New Roman" w:hAnsi="Calibri"/>
                <w:color w:val="000000"/>
                <w:kern w:val="0"/>
                <w:sz w:val="24"/>
                <w:szCs w:val="24"/>
                <w:lang w:bidi="ne-NP"/>
                <w14:ligatures w14:val="none"/>
              </w:rPr>
              <w:t>Concrete</w:t>
            </w:r>
          </w:p>
        </w:tc>
        <w:tc>
          <w:tcPr>
            <w:tcW w:w="0" w:type="auto"/>
            <w:hideMark/>
          </w:tcPr>
          <w:p w14:paraId="3A914734" w14:textId="77777777" w:rsidR="001D5CFF" w:rsidRPr="001D5CFF" w:rsidRDefault="001D5CFF" w:rsidP="001D5CFF">
            <w:pPr>
              <w:spacing w:after="160" w:line="259" w:lineRule="auto"/>
              <w:jc w:val="both"/>
              <w:rPr>
                <w:rFonts w:ascii="Calibri" w:eastAsia="Times New Roman" w:hAnsi="Calibri"/>
                <w:color w:val="000000"/>
                <w:kern w:val="0"/>
                <w:sz w:val="24"/>
                <w:szCs w:val="24"/>
                <w:lang w:bidi="ne-NP"/>
                <w14:ligatures w14:val="none"/>
              </w:rPr>
            </w:pPr>
            <w:r w:rsidRPr="001D5CFF">
              <w:rPr>
                <w:rFonts w:ascii="Calibri" w:eastAsia="Times New Roman" w:hAnsi="Calibri"/>
                <w:color w:val="000000"/>
                <w:kern w:val="0"/>
                <w:sz w:val="24"/>
                <w:szCs w:val="24"/>
                <w:lang w:bidi="ne-NP"/>
                <w14:ligatures w14:val="none"/>
              </w:rPr>
              <w:t>8.71</w:t>
            </w:r>
          </w:p>
        </w:tc>
        <w:tc>
          <w:tcPr>
            <w:tcW w:w="0" w:type="auto"/>
            <w:hideMark/>
          </w:tcPr>
          <w:p w14:paraId="72656756" w14:textId="77777777" w:rsidR="001D5CFF" w:rsidRPr="001D5CFF" w:rsidRDefault="001D5CFF" w:rsidP="001D5CFF">
            <w:pPr>
              <w:spacing w:after="160" w:line="259" w:lineRule="auto"/>
              <w:jc w:val="both"/>
              <w:rPr>
                <w:rFonts w:ascii="Calibri" w:eastAsia="Times New Roman" w:hAnsi="Calibri"/>
                <w:color w:val="000000"/>
                <w:kern w:val="0"/>
                <w:sz w:val="24"/>
                <w:szCs w:val="24"/>
                <w:lang w:bidi="ne-NP"/>
                <w14:ligatures w14:val="none"/>
              </w:rPr>
            </w:pPr>
            <w:r w:rsidRPr="001D5CFF">
              <w:rPr>
                <w:rFonts w:ascii="Calibri" w:eastAsia="Times New Roman" w:hAnsi="Calibri"/>
                <w:color w:val="000000"/>
                <w:kern w:val="0"/>
                <w:sz w:val="24"/>
                <w:szCs w:val="24"/>
                <w:lang w:bidi="ne-NP"/>
                <w14:ligatures w14:val="none"/>
              </w:rPr>
              <w:t>127.7</w:t>
            </w:r>
          </w:p>
        </w:tc>
        <w:tc>
          <w:tcPr>
            <w:tcW w:w="0" w:type="auto"/>
            <w:hideMark/>
          </w:tcPr>
          <w:p w14:paraId="373A3917" w14:textId="77777777" w:rsidR="001D5CFF" w:rsidRPr="001D5CFF" w:rsidRDefault="001D5CFF" w:rsidP="001D5CFF">
            <w:pPr>
              <w:spacing w:after="160" w:line="259" w:lineRule="auto"/>
              <w:jc w:val="both"/>
              <w:rPr>
                <w:rFonts w:ascii="Calibri" w:eastAsia="Times New Roman" w:hAnsi="Calibri"/>
                <w:color w:val="000000"/>
                <w:kern w:val="0"/>
                <w:sz w:val="24"/>
                <w:szCs w:val="24"/>
                <w:lang w:bidi="ne-NP"/>
                <w14:ligatures w14:val="none"/>
              </w:rPr>
            </w:pPr>
            <w:r w:rsidRPr="001D5CFF">
              <w:rPr>
                <w:rFonts w:ascii="Calibri" w:eastAsia="Times New Roman" w:hAnsi="Calibri"/>
                <w:color w:val="000000"/>
                <w:kern w:val="0"/>
                <w:sz w:val="24"/>
                <w:szCs w:val="24"/>
                <w:lang w:bidi="ne-NP"/>
                <w14:ligatures w14:val="none"/>
              </w:rPr>
              <w:t>124.4</w:t>
            </w:r>
          </w:p>
        </w:tc>
        <w:tc>
          <w:tcPr>
            <w:tcW w:w="0" w:type="auto"/>
            <w:hideMark/>
          </w:tcPr>
          <w:p w14:paraId="4FAD0218" w14:textId="77777777" w:rsidR="001D5CFF" w:rsidRPr="001D5CFF" w:rsidRDefault="001D5CFF" w:rsidP="001D5CFF">
            <w:pPr>
              <w:spacing w:after="160" w:line="259" w:lineRule="auto"/>
              <w:jc w:val="both"/>
              <w:rPr>
                <w:rFonts w:ascii="Calibri" w:eastAsia="Times New Roman" w:hAnsi="Calibri"/>
                <w:color w:val="000000"/>
                <w:kern w:val="0"/>
                <w:sz w:val="24"/>
                <w:szCs w:val="24"/>
                <w:lang w:bidi="ne-NP"/>
                <w14:ligatures w14:val="none"/>
              </w:rPr>
            </w:pPr>
            <w:r w:rsidRPr="001D5CFF">
              <w:rPr>
                <w:rFonts w:ascii="Calibri" w:eastAsia="Times New Roman" w:hAnsi="Calibri"/>
                <w:color w:val="000000"/>
                <w:kern w:val="0"/>
                <w:sz w:val="24"/>
                <w:szCs w:val="24"/>
                <w:lang w:bidi="ne-NP"/>
                <w14:ligatures w14:val="none"/>
              </w:rPr>
              <w:t>-2.59</w:t>
            </w:r>
          </w:p>
        </w:tc>
      </w:tr>
      <w:tr w:rsidR="001D5CFF" w:rsidRPr="001D5CFF" w14:paraId="1F977A72" w14:textId="77777777" w:rsidTr="001D5CFF">
        <w:tc>
          <w:tcPr>
            <w:tcW w:w="0" w:type="auto"/>
            <w:hideMark/>
          </w:tcPr>
          <w:p w14:paraId="28275DD2" w14:textId="77777777" w:rsidR="001D5CFF" w:rsidRPr="001D5CFF" w:rsidRDefault="001D5CFF" w:rsidP="001D5CFF">
            <w:pPr>
              <w:spacing w:after="160" w:line="259" w:lineRule="auto"/>
              <w:jc w:val="both"/>
              <w:rPr>
                <w:rFonts w:ascii="Calibri" w:eastAsia="Times New Roman" w:hAnsi="Calibri"/>
                <w:color w:val="000000"/>
                <w:kern w:val="0"/>
                <w:sz w:val="24"/>
                <w:szCs w:val="24"/>
                <w:lang w:bidi="ne-NP"/>
                <w14:ligatures w14:val="none"/>
              </w:rPr>
            </w:pPr>
            <w:r w:rsidRPr="001D5CFF">
              <w:rPr>
                <w:rFonts w:ascii="Calibri" w:eastAsia="Times New Roman" w:hAnsi="Calibri"/>
                <w:color w:val="000000"/>
                <w:kern w:val="0"/>
                <w:sz w:val="24"/>
                <w:szCs w:val="24"/>
                <w:lang w:bidi="ne-NP"/>
                <w14:ligatures w14:val="none"/>
              </w:rPr>
              <w:t>5</w:t>
            </w:r>
          </w:p>
        </w:tc>
        <w:tc>
          <w:tcPr>
            <w:tcW w:w="0" w:type="auto"/>
            <w:hideMark/>
          </w:tcPr>
          <w:p w14:paraId="09471403" w14:textId="77777777" w:rsidR="001D5CFF" w:rsidRPr="001D5CFF" w:rsidRDefault="001D5CFF" w:rsidP="001D5CFF">
            <w:pPr>
              <w:spacing w:after="160" w:line="259" w:lineRule="auto"/>
              <w:jc w:val="both"/>
              <w:rPr>
                <w:rFonts w:ascii="Calibri" w:eastAsia="Times New Roman" w:hAnsi="Calibri"/>
                <w:color w:val="000000"/>
                <w:kern w:val="0"/>
                <w:sz w:val="24"/>
                <w:szCs w:val="24"/>
                <w:lang w:bidi="ne-NP"/>
                <w14:ligatures w14:val="none"/>
              </w:rPr>
            </w:pPr>
            <w:r w:rsidRPr="001D5CFF">
              <w:rPr>
                <w:rFonts w:ascii="Calibri" w:eastAsia="Times New Roman" w:hAnsi="Calibri"/>
                <w:color w:val="000000"/>
                <w:kern w:val="0"/>
                <w:sz w:val="24"/>
                <w:szCs w:val="24"/>
                <w:lang w:bidi="ne-NP"/>
                <w14:ligatures w14:val="none"/>
              </w:rPr>
              <w:t>Iron Rod &amp; Billets</w:t>
            </w:r>
          </w:p>
        </w:tc>
        <w:tc>
          <w:tcPr>
            <w:tcW w:w="0" w:type="auto"/>
            <w:hideMark/>
          </w:tcPr>
          <w:p w14:paraId="06D77EF3" w14:textId="77777777" w:rsidR="001D5CFF" w:rsidRPr="001D5CFF" w:rsidRDefault="001D5CFF" w:rsidP="001D5CFF">
            <w:pPr>
              <w:spacing w:after="160" w:line="259" w:lineRule="auto"/>
              <w:jc w:val="both"/>
              <w:rPr>
                <w:rFonts w:ascii="Calibri" w:eastAsia="Times New Roman" w:hAnsi="Calibri"/>
                <w:color w:val="000000"/>
                <w:kern w:val="0"/>
                <w:sz w:val="24"/>
                <w:szCs w:val="24"/>
                <w:lang w:bidi="ne-NP"/>
                <w14:ligatures w14:val="none"/>
              </w:rPr>
            </w:pPr>
            <w:r w:rsidRPr="001D5CFF">
              <w:rPr>
                <w:rFonts w:ascii="Calibri" w:eastAsia="Times New Roman" w:hAnsi="Calibri"/>
                <w:color w:val="000000"/>
                <w:kern w:val="0"/>
                <w:sz w:val="24"/>
                <w:szCs w:val="24"/>
                <w:lang w:bidi="ne-NP"/>
                <w14:ligatures w14:val="none"/>
              </w:rPr>
              <w:t>11.61</w:t>
            </w:r>
          </w:p>
        </w:tc>
        <w:tc>
          <w:tcPr>
            <w:tcW w:w="0" w:type="auto"/>
            <w:hideMark/>
          </w:tcPr>
          <w:p w14:paraId="142DEB2D" w14:textId="77777777" w:rsidR="001D5CFF" w:rsidRPr="001D5CFF" w:rsidRDefault="001D5CFF" w:rsidP="001D5CFF">
            <w:pPr>
              <w:spacing w:after="160" w:line="259" w:lineRule="auto"/>
              <w:jc w:val="both"/>
              <w:rPr>
                <w:rFonts w:ascii="Calibri" w:eastAsia="Times New Roman" w:hAnsi="Calibri"/>
                <w:color w:val="000000"/>
                <w:kern w:val="0"/>
                <w:sz w:val="24"/>
                <w:szCs w:val="24"/>
                <w:lang w:bidi="ne-NP"/>
                <w14:ligatures w14:val="none"/>
              </w:rPr>
            </w:pPr>
            <w:r w:rsidRPr="001D5CFF">
              <w:rPr>
                <w:rFonts w:ascii="Calibri" w:eastAsia="Times New Roman" w:hAnsi="Calibri"/>
                <w:color w:val="000000"/>
                <w:kern w:val="0"/>
                <w:sz w:val="24"/>
                <w:szCs w:val="24"/>
                <w:lang w:bidi="ne-NP"/>
                <w14:ligatures w14:val="none"/>
              </w:rPr>
              <w:t>118.9</w:t>
            </w:r>
          </w:p>
        </w:tc>
        <w:tc>
          <w:tcPr>
            <w:tcW w:w="0" w:type="auto"/>
            <w:hideMark/>
          </w:tcPr>
          <w:p w14:paraId="40A3C7FB" w14:textId="77777777" w:rsidR="001D5CFF" w:rsidRPr="001D5CFF" w:rsidRDefault="001D5CFF" w:rsidP="001D5CFF">
            <w:pPr>
              <w:spacing w:after="160" w:line="259" w:lineRule="auto"/>
              <w:jc w:val="both"/>
              <w:rPr>
                <w:rFonts w:ascii="Calibri" w:eastAsia="Times New Roman" w:hAnsi="Calibri"/>
                <w:color w:val="000000"/>
                <w:kern w:val="0"/>
                <w:sz w:val="24"/>
                <w:szCs w:val="24"/>
                <w:lang w:bidi="ne-NP"/>
                <w14:ligatures w14:val="none"/>
              </w:rPr>
            </w:pPr>
            <w:r w:rsidRPr="001D5CFF">
              <w:rPr>
                <w:rFonts w:ascii="Calibri" w:eastAsia="Times New Roman" w:hAnsi="Calibri"/>
                <w:color w:val="000000"/>
                <w:kern w:val="0"/>
                <w:sz w:val="24"/>
                <w:szCs w:val="24"/>
                <w:lang w:bidi="ne-NP"/>
                <w14:ligatures w14:val="none"/>
              </w:rPr>
              <w:t>116.7</w:t>
            </w:r>
          </w:p>
        </w:tc>
        <w:tc>
          <w:tcPr>
            <w:tcW w:w="0" w:type="auto"/>
            <w:hideMark/>
          </w:tcPr>
          <w:p w14:paraId="663BCF95" w14:textId="77777777" w:rsidR="001D5CFF" w:rsidRPr="001D5CFF" w:rsidRDefault="001D5CFF" w:rsidP="001D5CFF">
            <w:pPr>
              <w:spacing w:after="160" w:line="259" w:lineRule="auto"/>
              <w:jc w:val="both"/>
              <w:rPr>
                <w:rFonts w:ascii="Calibri" w:eastAsia="Times New Roman" w:hAnsi="Calibri"/>
                <w:color w:val="000000"/>
                <w:kern w:val="0"/>
                <w:sz w:val="24"/>
                <w:szCs w:val="24"/>
                <w:lang w:bidi="ne-NP"/>
                <w14:ligatures w14:val="none"/>
              </w:rPr>
            </w:pPr>
            <w:r w:rsidRPr="001D5CFF">
              <w:rPr>
                <w:rFonts w:ascii="Calibri" w:eastAsia="Times New Roman" w:hAnsi="Calibri"/>
                <w:color w:val="000000"/>
                <w:kern w:val="0"/>
                <w:sz w:val="24"/>
                <w:szCs w:val="24"/>
                <w:lang w:bidi="ne-NP"/>
                <w14:ligatures w14:val="none"/>
              </w:rPr>
              <w:t>-1.89</w:t>
            </w:r>
          </w:p>
        </w:tc>
      </w:tr>
      <w:tr w:rsidR="001D5CFF" w:rsidRPr="001D5CFF" w14:paraId="0D1F1359" w14:textId="77777777" w:rsidTr="001D5CFF">
        <w:tc>
          <w:tcPr>
            <w:tcW w:w="0" w:type="auto"/>
            <w:hideMark/>
          </w:tcPr>
          <w:p w14:paraId="11412FCC" w14:textId="77777777" w:rsidR="001D5CFF" w:rsidRPr="001D5CFF" w:rsidRDefault="001D5CFF" w:rsidP="001D5CFF">
            <w:pPr>
              <w:spacing w:after="160" w:line="259" w:lineRule="auto"/>
              <w:jc w:val="both"/>
              <w:rPr>
                <w:rFonts w:ascii="Calibri" w:eastAsia="Times New Roman" w:hAnsi="Calibri"/>
                <w:color w:val="000000"/>
                <w:kern w:val="0"/>
                <w:sz w:val="24"/>
                <w:szCs w:val="24"/>
                <w:lang w:bidi="ne-NP"/>
                <w14:ligatures w14:val="none"/>
              </w:rPr>
            </w:pPr>
            <w:r w:rsidRPr="001D5CFF">
              <w:rPr>
                <w:rFonts w:ascii="Calibri" w:eastAsia="Times New Roman" w:hAnsi="Calibri"/>
                <w:color w:val="000000"/>
                <w:kern w:val="0"/>
                <w:sz w:val="24"/>
                <w:szCs w:val="24"/>
                <w:lang w:bidi="ne-NP"/>
                <w14:ligatures w14:val="none"/>
              </w:rPr>
              <w:t>6</w:t>
            </w:r>
          </w:p>
        </w:tc>
        <w:tc>
          <w:tcPr>
            <w:tcW w:w="0" w:type="auto"/>
            <w:hideMark/>
          </w:tcPr>
          <w:p w14:paraId="0CD36A6C" w14:textId="77777777" w:rsidR="001D5CFF" w:rsidRPr="001D5CFF" w:rsidRDefault="001D5CFF" w:rsidP="001D5CFF">
            <w:pPr>
              <w:spacing w:after="160" w:line="259" w:lineRule="auto"/>
              <w:jc w:val="both"/>
              <w:rPr>
                <w:rFonts w:ascii="Calibri" w:eastAsia="Times New Roman" w:hAnsi="Calibri"/>
                <w:color w:val="000000"/>
                <w:kern w:val="0"/>
                <w:sz w:val="24"/>
                <w:szCs w:val="24"/>
                <w:lang w:bidi="ne-NP"/>
                <w14:ligatures w14:val="none"/>
              </w:rPr>
            </w:pPr>
            <w:r w:rsidRPr="001D5CFF">
              <w:rPr>
                <w:rFonts w:ascii="Calibri" w:eastAsia="Times New Roman" w:hAnsi="Calibri"/>
                <w:color w:val="000000"/>
                <w:kern w:val="0"/>
                <w:sz w:val="24"/>
                <w:szCs w:val="24"/>
                <w:lang w:bidi="ne-NP"/>
                <w14:ligatures w14:val="none"/>
              </w:rPr>
              <w:t>Iron Rod</w:t>
            </w:r>
          </w:p>
        </w:tc>
        <w:tc>
          <w:tcPr>
            <w:tcW w:w="0" w:type="auto"/>
            <w:hideMark/>
          </w:tcPr>
          <w:p w14:paraId="25A66563" w14:textId="77777777" w:rsidR="001D5CFF" w:rsidRPr="001D5CFF" w:rsidRDefault="001D5CFF" w:rsidP="001D5CFF">
            <w:pPr>
              <w:spacing w:after="160" w:line="259" w:lineRule="auto"/>
              <w:jc w:val="both"/>
              <w:rPr>
                <w:rFonts w:ascii="Calibri" w:eastAsia="Times New Roman" w:hAnsi="Calibri"/>
                <w:color w:val="000000"/>
                <w:kern w:val="0"/>
                <w:sz w:val="24"/>
                <w:szCs w:val="24"/>
                <w:lang w:bidi="ne-NP"/>
                <w14:ligatures w14:val="none"/>
              </w:rPr>
            </w:pPr>
            <w:r w:rsidRPr="001D5CFF">
              <w:rPr>
                <w:rFonts w:ascii="Calibri" w:eastAsia="Times New Roman" w:hAnsi="Calibri"/>
                <w:color w:val="000000"/>
                <w:kern w:val="0"/>
                <w:sz w:val="24"/>
                <w:szCs w:val="24"/>
                <w:lang w:bidi="ne-NP"/>
                <w14:ligatures w14:val="none"/>
              </w:rPr>
              <w:t>8.13</w:t>
            </w:r>
          </w:p>
        </w:tc>
        <w:tc>
          <w:tcPr>
            <w:tcW w:w="0" w:type="auto"/>
            <w:hideMark/>
          </w:tcPr>
          <w:p w14:paraId="7B8C4A9F" w14:textId="77777777" w:rsidR="001D5CFF" w:rsidRPr="001D5CFF" w:rsidRDefault="001D5CFF" w:rsidP="001D5CFF">
            <w:pPr>
              <w:spacing w:after="160" w:line="259" w:lineRule="auto"/>
              <w:jc w:val="both"/>
              <w:rPr>
                <w:rFonts w:ascii="Calibri" w:eastAsia="Times New Roman" w:hAnsi="Calibri"/>
                <w:color w:val="000000"/>
                <w:kern w:val="0"/>
                <w:sz w:val="24"/>
                <w:szCs w:val="24"/>
                <w:lang w:bidi="ne-NP"/>
                <w14:ligatures w14:val="none"/>
              </w:rPr>
            </w:pPr>
            <w:r w:rsidRPr="001D5CFF">
              <w:rPr>
                <w:rFonts w:ascii="Calibri" w:eastAsia="Times New Roman" w:hAnsi="Calibri"/>
                <w:color w:val="000000"/>
                <w:kern w:val="0"/>
                <w:sz w:val="24"/>
                <w:szCs w:val="24"/>
                <w:lang w:bidi="ne-NP"/>
                <w14:ligatures w14:val="none"/>
              </w:rPr>
              <w:t>118.5</w:t>
            </w:r>
          </w:p>
        </w:tc>
        <w:tc>
          <w:tcPr>
            <w:tcW w:w="0" w:type="auto"/>
            <w:hideMark/>
          </w:tcPr>
          <w:p w14:paraId="5017B6CA" w14:textId="77777777" w:rsidR="001D5CFF" w:rsidRPr="001D5CFF" w:rsidRDefault="001D5CFF" w:rsidP="001D5CFF">
            <w:pPr>
              <w:spacing w:after="160" w:line="259" w:lineRule="auto"/>
              <w:jc w:val="both"/>
              <w:rPr>
                <w:rFonts w:ascii="Calibri" w:eastAsia="Times New Roman" w:hAnsi="Calibri"/>
                <w:color w:val="000000"/>
                <w:kern w:val="0"/>
                <w:sz w:val="24"/>
                <w:szCs w:val="24"/>
                <w:lang w:bidi="ne-NP"/>
                <w14:ligatures w14:val="none"/>
              </w:rPr>
            </w:pPr>
            <w:r w:rsidRPr="001D5CFF">
              <w:rPr>
                <w:rFonts w:ascii="Calibri" w:eastAsia="Times New Roman" w:hAnsi="Calibri"/>
                <w:color w:val="000000"/>
                <w:kern w:val="0"/>
                <w:sz w:val="24"/>
                <w:szCs w:val="24"/>
                <w:lang w:bidi="ne-NP"/>
                <w14:ligatures w14:val="none"/>
              </w:rPr>
              <w:t>115.9</w:t>
            </w:r>
          </w:p>
        </w:tc>
        <w:tc>
          <w:tcPr>
            <w:tcW w:w="0" w:type="auto"/>
            <w:hideMark/>
          </w:tcPr>
          <w:p w14:paraId="38CC3521" w14:textId="77777777" w:rsidR="001D5CFF" w:rsidRPr="001D5CFF" w:rsidRDefault="001D5CFF" w:rsidP="001D5CFF">
            <w:pPr>
              <w:spacing w:after="160" w:line="259" w:lineRule="auto"/>
              <w:jc w:val="both"/>
              <w:rPr>
                <w:rFonts w:ascii="Calibri" w:eastAsia="Times New Roman" w:hAnsi="Calibri"/>
                <w:color w:val="000000"/>
                <w:kern w:val="0"/>
                <w:sz w:val="24"/>
                <w:szCs w:val="24"/>
                <w:lang w:bidi="ne-NP"/>
                <w14:ligatures w14:val="none"/>
              </w:rPr>
            </w:pPr>
            <w:r w:rsidRPr="001D5CFF">
              <w:rPr>
                <w:rFonts w:ascii="Calibri" w:eastAsia="Times New Roman" w:hAnsi="Calibri"/>
                <w:color w:val="000000"/>
                <w:kern w:val="0"/>
                <w:sz w:val="24"/>
                <w:szCs w:val="24"/>
                <w:lang w:bidi="ne-NP"/>
                <w14:ligatures w14:val="none"/>
              </w:rPr>
              <w:t>-2.22</w:t>
            </w:r>
          </w:p>
        </w:tc>
      </w:tr>
      <w:tr w:rsidR="001D5CFF" w:rsidRPr="001D5CFF" w14:paraId="3F551ED5" w14:textId="77777777" w:rsidTr="001D5CFF">
        <w:tc>
          <w:tcPr>
            <w:tcW w:w="0" w:type="auto"/>
            <w:hideMark/>
          </w:tcPr>
          <w:p w14:paraId="7C36076F" w14:textId="77777777" w:rsidR="001D5CFF" w:rsidRPr="001D5CFF" w:rsidRDefault="001D5CFF" w:rsidP="001D5CFF">
            <w:pPr>
              <w:spacing w:after="160" w:line="259" w:lineRule="auto"/>
              <w:jc w:val="both"/>
              <w:rPr>
                <w:rFonts w:ascii="Calibri" w:eastAsia="Times New Roman" w:hAnsi="Calibri"/>
                <w:color w:val="000000"/>
                <w:kern w:val="0"/>
                <w:sz w:val="24"/>
                <w:szCs w:val="24"/>
                <w:lang w:bidi="ne-NP"/>
                <w14:ligatures w14:val="none"/>
              </w:rPr>
            </w:pPr>
            <w:r w:rsidRPr="001D5CFF">
              <w:rPr>
                <w:rFonts w:ascii="Calibri" w:eastAsia="Times New Roman" w:hAnsi="Calibri"/>
                <w:color w:val="000000"/>
                <w:kern w:val="0"/>
                <w:sz w:val="24"/>
                <w:szCs w:val="24"/>
                <w:lang w:bidi="ne-NP"/>
                <w14:ligatures w14:val="none"/>
              </w:rPr>
              <w:t>7</w:t>
            </w:r>
          </w:p>
        </w:tc>
        <w:tc>
          <w:tcPr>
            <w:tcW w:w="0" w:type="auto"/>
            <w:hideMark/>
          </w:tcPr>
          <w:p w14:paraId="3FC81FD1" w14:textId="77777777" w:rsidR="001D5CFF" w:rsidRPr="001D5CFF" w:rsidRDefault="001D5CFF" w:rsidP="001D5CFF">
            <w:pPr>
              <w:spacing w:after="160" w:line="259" w:lineRule="auto"/>
              <w:jc w:val="both"/>
              <w:rPr>
                <w:rFonts w:ascii="Calibri" w:eastAsia="Times New Roman" w:hAnsi="Calibri"/>
                <w:color w:val="000000"/>
                <w:kern w:val="0"/>
                <w:sz w:val="24"/>
                <w:szCs w:val="24"/>
                <w:lang w:bidi="ne-NP"/>
                <w14:ligatures w14:val="none"/>
              </w:rPr>
            </w:pPr>
            <w:r w:rsidRPr="001D5CFF">
              <w:rPr>
                <w:rFonts w:ascii="Calibri" w:eastAsia="Times New Roman" w:hAnsi="Calibri"/>
                <w:color w:val="000000"/>
                <w:kern w:val="0"/>
                <w:sz w:val="24"/>
                <w:szCs w:val="24"/>
                <w:lang w:bidi="ne-NP"/>
                <w14:ligatures w14:val="none"/>
              </w:rPr>
              <w:t>Billets</w:t>
            </w:r>
          </w:p>
        </w:tc>
        <w:tc>
          <w:tcPr>
            <w:tcW w:w="0" w:type="auto"/>
            <w:hideMark/>
          </w:tcPr>
          <w:p w14:paraId="7B795D61" w14:textId="77777777" w:rsidR="001D5CFF" w:rsidRPr="001D5CFF" w:rsidRDefault="001D5CFF" w:rsidP="001D5CFF">
            <w:pPr>
              <w:spacing w:after="160" w:line="259" w:lineRule="auto"/>
              <w:jc w:val="both"/>
              <w:rPr>
                <w:rFonts w:ascii="Calibri" w:eastAsia="Times New Roman" w:hAnsi="Calibri"/>
                <w:color w:val="000000"/>
                <w:kern w:val="0"/>
                <w:sz w:val="24"/>
                <w:szCs w:val="24"/>
                <w:lang w:bidi="ne-NP"/>
                <w14:ligatures w14:val="none"/>
              </w:rPr>
            </w:pPr>
            <w:r w:rsidRPr="001D5CFF">
              <w:rPr>
                <w:rFonts w:ascii="Calibri" w:eastAsia="Times New Roman" w:hAnsi="Calibri"/>
                <w:color w:val="000000"/>
                <w:kern w:val="0"/>
                <w:sz w:val="24"/>
                <w:szCs w:val="24"/>
                <w:lang w:bidi="ne-NP"/>
                <w14:ligatures w14:val="none"/>
              </w:rPr>
              <w:t>3.48</w:t>
            </w:r>
          </w:p>
        </w:tc>
        <w:tc>
          <w:tcPr>
            <w:tcW w:w="0" w:type="auto"/>
            <w:hideMark/>
          </w:tcPr>
          <w:p w14:paraId="7A0044E0" w14:textId="77777777" w:rsidR="001D5CFF" w:rsidRPr="001D5CFF" w:rsidRDefault="001D5CFF" w:rsidP="001D5CFF">
            <w:pPr>
              <w:spacing w:after="160" w:line="259" w:lineRule="auto"/>
              <w:jc w:val="both"/>
              <w:rPr>
                <w:rFonts w:ascii="Calibri" w:eastAsia="Times New Roman" w:hAnsi="Calibri"/>
                <w:color w:val="000000"/>
                <w:kern w:val="0"/>
                <w:sz w:val="24"/>
                <w:szCs w:val="24"/>
                <w:lang w:bidi="ne-NP"/>
                <w14:ligatures w14:val="none"/>
              </w:rPr>
            </w:pPr>
            <w:r w:rsidRPr="001D5CFF">
              <w:rPr>
                <w:rFonts w:ascii="Calibri" w:eastAsia="Times New Roman" w:hAnsi="Calibri"/>
                <w:color w:val="000000"/>
                <w:kern w:val="0"/>
                <w:sz w:val="24"/>
                <w:szCs w:val="24"/>
                <w:lang w:bidi="ne-NP"/>
                <w14:ligatures w14:val="none"/>
              </w:rPr>
              <w:t>119.8</w:t>
            </w:r>
          </w:p>
        </w:tc>
        <w:tc>
          <w:tcPr>
            <w:tcW w:w="0" w:type="auto"/>
            <w:hideMark/>
          </w:tcPr>
          <w:p w14:paraId="775F4247" w14:textId="77777777" w:rsidR="001D5CFF" w:rsidRPr="001D5CFF" w:rsidRDefault="001D5CFF" w:rsidP="001D5CFF">
            <w:pPr>
              <w:spacing w:after="160" w:line="259" w:lineRule="auto"/>
              <w:jc w:val="both"/>
              <w:rPr>
                <w:rFonts w:ascii="Calibri" w:eastAsia="Times New Roman" w:hAnsi="Calibri"/>
                <w:color w:val="000000"/>
                <w:kern w:val="0"/>
                <w:sz w:val="24"/>
                <w:szCs w:val="24"/>
                <w:lang w:bidi="ne-NP"/>
                <w14:ligatures w14:val="none"/>
              </w:rPr>
            </w:pPr>
            <w:r w:rsidRPr="001D5CFF">
              <w:rPr>
                <w:rFonts w:ascii="Calibri" w:eastAsia="Times New Roman" w:hAnsi="Calibri"/>
                <w:color w:val="000000"/>
                <w:kern w:val="0"/>
                <w:sz w:val="24"/>
                <w:szCs w:val="24"/>
                <w:lang w:bidi="ne-NP"/>
                <w14:ligatures w14:val="none"/>
              </w:rPr>
              <w:t>118.4</w:t>
            </w:r>
          </w:p>
        </w:tc>
        <w:tc>
          <w:tcPr>
            <w:tcW w:w="0" w:type="auto"/>
            <w:hideMark/>
          </w:tcPr>
          <w:p w14:paraId="1C7E9635" w14:textId="77777777" w:rsidR="001D5CFF" w:rsidRPr="001D5CFF" w:rsidRDefault="001D5CFF" w:rsidP="001D5CFF">
            <w:pPr>
              <w:spacing w:after="160" w:line="259" w:lineRule="auto"/>
              <w:jc w:val="both"/>
              <w:rPr>
                <w:rFonts w:ascii="Calibri" w:eastAsia="Times New Roman" w:hAnsi="Calibri"/>
                <w:color w:val="000000"/>
                <w:kern w:val="0"/>
                <w:sz w:val="24"/>
                <w:szCs w:val="24"/>
                <w:lang w:bidi="ne-NP"/>
                <w14:ligatures w14:val="none"/>
              </w:rPr>
            </w:pPr>
            <w:r w:rsidRPr="001D5CFF">
              <w:rPr>
                <w:rFonts w:ascii="Calibri" w:eastAsia="Times New Roman" w:hAnsi="Calibri"/>
                <w:color w:val="000000"/>
                <w:kern w:val="0"/>
                <w:sz w:val="24"/>
                <w:szCs w:val="24"/>
                <w:lang w:bidi="ne-NP"/>
                <w14:ligatures w14:val="none"/>
              </w:rPr>
              <w:t>-1.15</w:t>
            </w:r>
          </w:p>
        </w:tc>
      </w:tr>
      <w:tr w:rsidR="001D5CFF" w:rsidRPr="001D5CFF" w14:paraId="62FA5B7C" w14:textId="77777777" w:rsidTr="001D5CFF">
        <w:tc>
          <w:tcPr>
            <w:tcW w:w="0" w:type="auto"/>
            <w:hideMark/>
          </w:tcPr>
          <w:p w14:paraId="3F8CB855" w14:textId="77777777" w:rsidR="001D5CFF" w:rsidRPr="001D5CFF" w:rsidRDefault="001D5CFF" w:rsidP="001D5CFF">
            <w:pPr>
              <w:spacing w:after="160" w:line="259" w:lineRule="auto"/>
              <w:jc w:val="both"/>
              <w:rPr>
                <w:rFonts w:ascii="Calibri" w:eastAsia="Times New Roman" w:hAnsi="Calibri"/>
                <w:color w:val="000000"/>
                <w:kern w:val="0"/>
                <w:sz w:val="24"/>
                <w:szCs w:val="24"/>
                <w:lang w:bidi="ne-NP"/>
                <w14:ligatures w14:val="none"/>
              </w:rPr>
            </w:pPr>
            <w:r w:rsidRPr="001D5CFF">
              <w:rPr>
                <w:rFonts w:ascii="Calibri" w:eastAsia="Times New Roman" w:hAnsi="Calibri"/>
                <w:color w:val="000000"/>
                <w:kern w:val="0"/>
                <w:sz w:val="24"/>
                <w:szCs w:val="24"/>
                <w:lang w:bidi="ne-NP"/>
                <w14:ligatures w14:val="none"/>
              </w:rPr>
              <w:t>8</w:t>
            </w:r>
          </w:p>
        </w:tc>
        <w:tc>
          <w:tcPr>
            <w:tcW w:w="0" w:type="auto"/>
            <w:hideMark/>
          </w:tcPr>
          <w:p w14:paraId="14885E63" w14:textId="77777777" w:rsidR="001D5CFF" w:rsidRPr="001D5CFF" w:rsidRDefault="001D5CFF" w:rsidP="001D5CFF">
            <w:pPr>
              <w:spacing w:after="160" w:line="259" w:lineRule="auto"/>
              <w:jc w:val="both"/>
              <w:rPr>
                <w:rFonts w:ascii="Calibri" w:eastAsia="Times New Roman" w:hAnsi="Calibri"/>
                <w:color w:val="000000"/>
                <w:kern w:val="0"/>
                <w:sz w:val="24"/>
                <w:szCs w:val="24"/>
                <w:lang w:bidi="ne-NP"/>
                <w14:ligatures w14:val="none"/>
              </w:rPr>
            </w:pPr>
            <w:r w:rsidRPr="001D5CFF">
              <w:rPr>
                <w:rFonts w:ascii="Calibri" w:eastAsia="Times New Roman" w:hAnsi="Calibri"/>
                <w:color w:val="000000"/>
                <w:kern w:val="0"/>
                <w:sz w:val="24"/>
                <w:szCs w:val="24"/>
                <w:lang w:bidi="ne-NP"/>
                <w14:ligatures w14:val="none"/>
              </w:rPr>
              <w:t>Wood</w:t>
            </w:r>
          </w:p>
        </w:tc>
        <w:tc>
          <w:tcPr>
            <w:tcW w:w="0" w:type="auto"/>
            <w:hideMark/>
          </w:tcPr>
          <w:p w14:paraId="4E99B6B5" w14:textId="77777777" w:rsidR="001D5CFF" w:rsidRPr="001D5CFF" w:rsidRDefault="001D5CFF" w:rsidP="001D5CFF">
            <w:pPr>
              <w:spacing w:after="160" w:line="259" w:lineRule="auto"/>
              <w:jc w:val="both"/>
              <w:rPr>
                <w:rFonts w:ascii="Calibri" w:eastAsia="Times New Roman" w:hAnsi="Calibri"/>
                <w:color w:val="000000"/>
                <w:kern w:val="0"/>
                <w:sz w:val="24"/>
                <w:szCs w:val="24"/>
                <w:lang w:bidi="ne-NP"/>
                <w14:ligatures w14:val="none"/>
              </w:rPr>
            </w:pPr>
            <w:r w:rsidRPr="001D5CFF">
              <w:rPr>
                <w:rFonts w:ascii="Calibri" w:eastAsia="Times New Roman" w:hAnsi="Calibri"/>
                <w:color w:val="000000"/>
                <w:kern w:val="0"/>
                <w:sz w:val="24"/>
                <w:szCs w:val="24"/>
                <w:lang w:bidi="ne-NP"/>
                <w14:ligatures w14:val="none"/>
              </w:rPr>
              <w:t>5.26</w:t>
            </w:r>
          </w:p>
        </w:tc>
        <w:tc>
          <w:tcPr>
            <w:tcW w:w="0" w:type="auto"/>
            <w:hideMark/>
          </w:tcPr>
          <w:p w14:paraId="7A03272D" w14:textId="77777777" w:rsidR="001D5CFF" w:rsidRPr="001D5CFF" w:rsidRDefault="001D5CFF" w:rsidP="001D5CFF">
            <w:pPr>
              <w:spacing w:after="160" w:line="259" w:lineRule="auto"/>
              <w:jc w:val="both"/>
              <w:rPr>
                <w:rFonts w:ascii="Calibri" w:eastAsia="Times New Roman" w:hAnsi="Calibri"/>
                <w:color w:val="000000"/>
                <w:kern w:val="0"/>
                <w:sz w:val="24"/>
                <w:szCs w:val="24"/>
                <w:lang w:bidi="ne-NP"/>
                <w14:ligatures w14:val="none"/>
              </w:rPr>
            </w:pPr>
            <w:r w:rsidRPr="001D5CFF">
              <w:rPr>
                <w:rFonts w:ascii="Calibri" w:eastAsia="Times New Roman" w:hAnsi="Calibri"/>
                <w:color w:val="000000"/>
                <w:kern w:val="0"/>
                <w:sz w:val="24"/>
                <w:szCs w:val="24"/>
                <w:lang w:bidi="ne-NP"/>
                <w14:ligatures w14:val="none"/>
              </w:rPr>
              <w:t>87.7</w:t>
            </w:r>
          </w:p>
        </w:tc>
        <w:tc>
          <w:tcPr>
            <w:tcW w:w="0" w:type="auto"/>
            <w:hideMark/>
          </w:tcPr>
          <w:p w14:paraId="6602D8FD" w14:textId="77777777" w:rsidR="001D5CFF" w:rsidRPr="001D5CFF" w:rsidRDefault="001D5CFF" w:rsidP="001D5CFF">
            <w:pPr>
              <w:spacing w:after="160" w:line="259" w:lineRule="auto"/>
              <w:jc w:val="both"/>
              <w:rPr>
                <w:rFonts w:ascii="Calibri" w:eastAsia="Times New Roman" w:hAnsi="Calibri"/>
                <w:color w:val="000000"/>
                <w:kern w:val="0"/>
                <w:sz w:val="24"/>
                <w:szCs w:val="24"/>
                <w:lang w:bidi="ne-NP"/>
                <w14:ligatures w14:val="none"/>
              </w:rPr>
            </w:pPr>
            <w:r w:rsidRPr="001D5CFF">
              <w:rPr>
                <w:rFonts w:ascii="Calibri" w:eastAsia="Times New Roman" w:hAnsi="Calibri"/>
                <w:color w:val="000000"/>
                <w:kern w:val="0"/>
                <w:sz w:val="24"/>
                <w:szCs w:val="24"/>
                <w:lang w:bidi="ne-NP"/>
                <w14:ligatures w14:val="none"/>
              </w:rPr>
              <w:t>86.0</w:t>
            </w:r>
          </w:p>
        </w:tc>
        <w:tc>
          <w:tcPr>
            <w:tcW w:w="0" w:type="auto"/>
            <w:hideMark/>
          </w:tcPr>
          <w:p w14:paraId="164B54A1" w14:textId="77777777" w:rsidR="001D5CFF" w:rsidRPr="001D5CFF" w:rsidRDefault="001D5CFF" w:rsidP="001D5CFF">
            <w:pPr>
              <w:spacing w:after="160" w:line="259" w:lineRule="auto"/>
              <w:jc w:val="both"/>
              <w:rPr>
                <w:rFonts w:ascii="Calibri" w:eastAsia="Times New Roman" w:hAnsi="Calibri"/>
                <w:color w:val="000000"/>
                <w:kern w:val="0"/>
                <w:sz w:val="24"/>
                <w:szCs w:val="24"/>
                <w:lang w:bidi="ne-NP"/>
                <w14:ligatures w14:val="none"/>
              </w:rPr>
            </w:pPr>
            <w:r w:rsidRPr="001D5CFF">
              <w:rPr>
                <w:rFonts w:ascii="Calibri" w:eastAsia="Times New Roman" w:hAnsi="Calibri"/>
                <w:color w:val="000000"/>
                <w:kern w:val="0"/>
                <w:sz w:val="24"/>
                <w:szCs w:val="24"/>
                <w:lang w:bidi="ne-NP"/>
                <w14:ligatures w14:val="none"/>
              </w:rPr>
              <w:t>-1.99</w:t>
            </w:r>
          </w:p>
        </w:tc>
      </w:tr>
      <w:tr w:rsidR="001D5CFF" w:rsidRPr="001D5CFF" w14:paraId="0BFF740F" w14:textId="77777777" w:rsidTr="001D5CFF">
        <w:tc>
          <w:tcPr>
            <w:tcW w:w="0" w:type="auto"/>
            <w:hideMark/>
          </w:tcPr>
          <w:p w14:paraId="39948A53" w14:textId="77777777" w:rsidR="001D5CFF" w:rsidRPr="001D5CFF" w:rsidRDefault="001D5CFF" w:rsidP="001D5CFF">
            <w:pPr>
              <w:spacing w:after="160" w:line="259" w:lineRule="auto"/>
              <w:jc w:val="both"/>
              <w:rPr>
                <w:rFonts w:ascii="Calibri" w:eastAsia="Times New Roman" w:hAnsi="Calibri"/>
                <w:color w:val="000000"/>
                <w:kern w:val="0"/>
                <w:sz w:val="24"/>
                <w:szCs w:val="24"/>
                <w:lang w:bidi="ne-NP"/>
                <w14:ligatures w14:val="none"/>
              </w:rPr>
            </w:pPr>
            <w:r w:rsidRPr="001D5CFF">
              <w:rPr>
                <w:rFonts w:ascii="Calibri" w:eastAsia="Times New Roman" w:hAnsi="Calibri"/>
                <w:color w:val="000000"/>
                <w:kern w:val="0"/>
                <w:sz w:val="24"/>
                <w:szCs w:val="24"/>
                <w:lang w:bidi="ne-NP"/>
                <w14:ligatures w14:val="none"/>
              </w:rPr>
              <w:t>9</w:t>
            </w:r>
          </w:p>
        </w:tc>
        <w:tc>
          <w:tcPr>
            <w:tcW w:w="0" w:type="auto"/>
            <w:hideMark/>
          </w:tcPr>
          <w:p w14:paraId="128B69AC" w14:textId="77777777" w:rsidR="001D5CFF" w:rsidRPr="001D5CFF" w:rsidRDefault="001D5CFF" w:rsidP="001D5CFF">
            <w:pPr>
              <w:spacing w:after="160" w:line="259" w:lineRule="auto"/>
              <w:jc w:val="both"/>
              <w:rPr>
                <w:rFonts w:ascii="Calibri" w:eastAsia="Times New Roman" w:hAnsi="Calibri"/>
                <w:color w:val="000000"/>
                <w:kern w:val="0"/>
                <w:sz w:val="24"/>
                <w:szCs w:val="24"/>
                <w:lang w:bidi="ne-NP"/>
                <w14:ligatures w14:val="none"/>
              </w:rPr>
            </w:pPr>
            <w:r w:rsidRPr="001D5CFF">
              <w:rPr>
                <w:rFonts w:ascii="Calibri" w:eastAsia="Times New Roman" w:hAnsi="Calibri"/>
                <w:color w:val="000000"/>
                <w:kern w:val="0"/>
                <w:sz w:val="24"/>
                <w:szCs w:val="24"/>
                <w:lang w:bidi="ne-NP"/>
                <w14:ligatures w14:val="none"/>
              </w:rPr>
              <w:t>Sand</w:t>
            </w:r>
          </w:p>
        </w:tc>
        <w:tc>
          <w:tcPr>
            <w:tcW w:w="0" w:type="auto"/>
            <w:hideMark/>
          </w:tcPr>
          <w:p w14:paraId="0961A4F5" w14:textId="77777777" w:rsidR="001D5CFF" w:rsidRPr="001D5CFF" w:rsidRDefault="001D5CFF" w:rsidP="001D5CFF">
            <w:pPr>
              <w:spacing w:after="160" w:line="259" w:lineRule="auto"/>
              <w:jc w:val="both"/>
              <w:rPr>
                <w:rFonts w:ascii="Calibri" w:eastAsia="Times New Roman" w:hAnsi="Calibri"/>
                <w:color w:val="000000"/>
                <w:kern w:val="0"/>
                <w:sz w:val="24"/>
                <w:szCs w:val="24"/>
                <w:lang w:bidi="ne-NP"/>
                <w14:ligatures w14:val="none"/>
              </w:rPr>
            </w:pPr>
            <w:r w:rsidRPr="001D5CFF">
              <w:rPr>
                <w:rFonts w:ascii="Calibri" w:eastAsia="Times New Roman" w:hAnsi="Calibri"/>
                <w:color w:val="000000"/>
                <w:kern w:val="0"/>
                <w:sz w:val="24"/>
                <w:szCs w:val="24"/>
                <w:lang w:bidi="ne-NP"/>
                <w14:ligatures w14:val="none"/>
              </w:rPr>
              <w:t>7.76</w:t>
            </w:r>
          </w:p>
        </w:tc>
        <w:tc>
          <w:tcPr>
            <w:tcW w:w="0" w:type="auto"/>
            <w:hideMark/>
          </w:tcPr>
          <w:p w14:paraId="02020AB2" w14:textId="77777777" w:rsidR="001D5CFF" w:rsidRPr="001D5CFF" w:rsidRDefault="001D5CFF" w:rsidP="001D5CFF">
            <w:pPr>
              <w:spacing w:after="160" w:line="259" w:lineRule="auto"/>
              <w:jc w:val="both"/>
              <w:rPr>
                <w:rFonts w:ascii="Calibri" w:eastAsia="Times New Roman" w:hAnsi="Calibri"/>
                <w:color w:val="000000"/>
                <w:kern w:val="0"/>
                <w:sz w:val="24"/>
                <w:szCs w:val="24"/>
                <w:lang w:bidi="ne-NP"/>
                <w14:ligatures w14:val="none"/>
              </w:rPr>
            </w:pPr>
            <w:r w:rsidRPr="001D5CFF">
              <w:rPr>
                <w:rFonts w:ascii="Calibri" w:eastAsia="Times New Roman" w:hAnsi="Calibri"/>
                <w:color w:val="000000"/>
                <w:kern w:val="0"/>
                <w:sz w:val="24"/>
                <w:szCs w:val="24"/>
                <w:lang w:bidi="ne-NP"/>
                <w14:ligatures w14:val="none"/>
              </w:rPr>
              <w:t>175.4</w:t>
            </w:r>
          </w:p>
        </w:tc>
        <w:tc>
          <w:tcPr>
            <w:tcW w:w="0" w:type="auto"/>
            <w:hideMark/>
          </w:tcPr>
          <w:p w14:paraId="23611147" w14:textId="5EB63DBA" w:rsidR="001D5CFF" w:rsidRPr="001D5CFF" w:rsidRDefault="001D5CFF" w:rsidP="001D5CFF">
            <w:pPr>
              <w:spacing w:after="160" w:line="259" w:lineRule="auto"/>
              <w:jc w:val="both"/>
              <w:rPr>
                <w:rFonts w:ascii="Calibri" w:eastAsia="Times New Roman" w:hAnsi="Calibri"/>
                <w:color w:val="000000"/>
                <w:kern w:val="0"/>
                <w:sz w:val="24"/>
                <w:szCs w:val="24"/>
                <w:lang w:bidi="ne-NP"/>
                <w14:ligatures w14:val="none"/>
              </w:rPr>
            </w:pPr>
            <w:r w:rsidRPr="001D5CFF">
              <w:rPr>
                <w:rFonts w:ascii="Calibri" w:eastAsia="Times New Roman" w:hAnsi="Calibri"/>
                <w:color w:val="000000"/>
                <w:kern w:val="0"/>
                <w:sz w:val="24"/>
                <w:szCs w:val="24"/>
                <w:lang w:bidi="ne-NP"/>
                <w14:ligatures w14:val="none"/>
              </w:rPr>
              <w:t>1</w:t>
            </w:r>
            <w:r w:rsidR="00F80CC2">
              <w:rPr>
                <w:rFonts w:ascii="Calibri" w:eastAsia="Times New Roman" w:hAnsi="Calibri"/>
                <w:color w:val="000000"/>
                <w:kern w:val="0"/>
                <w:sz w:val="24"/>
                <w:szCs w:val="24"/>
                <w:lang w:bidi="ne-NP"/>
                <w14:ligatures w14:val="none"/>
              </w:rPr>
              <w:t>76.4</w:t>
            </w:r>
          </w:p>
        </w:tc>
        <w:tc>
          <w:tcPr>
            <w:tcW w:w="0" w:type="auto"/>
            <w:hideMark/>
          </w:tcPr>
          <w:p w14:paraId="5DE096A1" w14:textId="28CD2525" w:rsidR="001D5CFF" w:rsidRPr="001D5CFF" w:rsidRDefault="00F80CC2" w:rsidP="001D5CFF">
            <w:pPr>
              <w:spacing w:after="160" w:line="259" w:lineRule="auto"/>
              <w:jc w:val="both"/>
              <w:rPr>
                <w:rFonts w:ascii="Calibri" w:eastAsia="Times New Roman" w:hAnsi="Calibri"/>
                <w:color w:val="000000"/>
                <w:kern w:val="0"/>
                <w:sz w:val="24"/>
                <w:szCs w:val="24"/>
                <w:lang w:bidi="ne-NP"/>
                <w14:ligatures w14:val="none"/>
              </w:rPr>
            </w:pPr>
            <w:r>
              <w:rPr>
                <w:rFonts w:ascii="Calibri" w:eastAsia="Times New Roman" w:hAnsi="Calibri"/>
                <w:color w:val="000000"/>
                <w:kern w:val="0"/>
                <w:sz w:val="24"/>
                <w:szCs w:val="24"/>
                <w:lang w:bidi="ne-NP"/>
                <w14:ligatures w14:val="none"/>
              </w:rPr>
              <w:t>0.57</w:t>
            </w:r>
          </w:p>
        </w:tc>
      </w:tr>
      <w:tr w:rsidR="001D5CFF" w:rsidRPr="001D5CFF" w14:paraId="138977AF" w14:textId="77777777" w:rsidTr="001D5CFF">
        <w:tc>
          <w:tcPr>
            <w:tcW w:w="0" w:type="auto"/>
            <w:hideMark/>
          </w:tcPr>
          <w:p w14:paraId="6214278F" w14:textId="77777777" w:rsidR="001D5CFF" w:rsidRPr="001D5CFF" w:rsidRDefault="001D5CFF" w:rsidP="001D5CFF">
            <w:pPr>
              <w:spacing w:after="160" w:line="259" w:lineRule="auto"/>
              <w:jc w:val="both"/>
              <w:rPr>
                <w:rFonts w:ascii="Calibri" w:eastAsia="Times New Roman" w:hAnsi="Calibri"/>
                <w:color w:val="000000"/>
                <w:kern w:val="0"/>
                <w:sz w:val="24"/>
                <w:szCs w:val="24"/>
                <w:lang w:bidi="ne-NP"/>
                <w14:ligatures w14:val="none"/>
              </w:rPr>
            </w:pPr>
            <w:r w:rsidRPr="001D5CFF">
              <w:rPr>
                <w:rFonts w:ascii="Calibri" w:eastAsia="Times New Roman" w:hAnsi="Calibri"/>
                <w:color w:val="000000"/>
                <w:kern w:val="0"/>
                <w:sz w:val="24"/>
                <w:szCs w:val="24"/>
                <w:lang w:bidi="ne-NP"/>
                <w14:ligatures w14:val="none"/>
              </w:rPr>
              <w:t>10</w:t>
            </w:r>
          </w:p>
        </w:tc>
        <w:tc>
          <w:tcPr>
            <w:tcW w:w="0" w:type="auto"/>
            <w:hideMark/>
          </w:tcPr>
          <w:p w14:paraId="3A3E770F" w14:textId="77777777" w:rsidR="001D5CFF" w:rsidRPr="001D5CFF" w:rsidRDefault="001D5CFF" w:rsidP="001D5CFF">
            <w:pPr>
              <w:spacing w:after="160" w:line="259" w:lineRule="auto"/>
              <w:jc w:val="both"/>
              <w:rPr>
                <w:rFonts w:ascii="Calibri" w:eastAsia="Times New Roman" w:hAnsi="Calibri"/>
                <w:color w:val="000000"/>
                <w:kern w:val="0"/>
                <w:sz w:val="24"/>
                <w:szCs w:val="24"/>
                <w:lang w:bidi="ne-NP"/>
                <w14:ligatures w14:val="none"/>
              </w:rPr>
            </w:pPr>
            <w:r w:rsidRPr="001D5CFF">
              <w:rPr>
                <w:rFonts w:ascii="Calibri" w:eastAsia="Times New Roman" w:hAnsi="Calibri"/>
                <w:color w:val="000000"/>
                <w:kern w:val="0"/>
                <w:sz w:val="24"/>
                <w:szCs w:val="24"/>
                <w:lang w:bidi="ne-NP"/>
                <w14:ligatures w14:val="none"/>
              </w:rPr>
              <w:t>GI Pipe &amp; Its Fittings</w:t>
            </w:r>
          </w:p>
        </w:tc>
        <w:tc>
          <w:tcPr>
            <w:tcW w:w="0" w:type="auto"/>
            <w:hideMark/>
          </w:tcPr>
          <w:p w14:paraId="096A59B0" w14:textId="77777777" w:rsidR="001D5CFF" w:rsidRPr="001D5CFF" w:rsidRDefault="001D5CFF" w:rsidP="001D5CFF">
            <w:pPr>
              <w:spacing w:after="160" w:line="259" w:lineRule="auto"/>
              <w:jc w:val="both"/>
              <w:rPr>
                <w:rFonts w:ascii="Calibri" w:eastAsia="Times New Roman" w:hAnsi="Calibri"/>
                <w:color w:val="000000"/>
                <w:kern w:val="0"/>
                <w:sz w:val="24"/>
                <w:szCs w:val="24"/>
                <w:lang w:bidi="ne-NP"/>
                <w14:ligatures w14:val="none"/>
              </w:rPr>
            </w:pPr>
            <w:r w:rsidRPr="001D5CFF">
              <w:rPr>
                <w:rFonts w:ascii="Calibri" w:eastAsia="Times New Roman" w:hAnsi="Calibri"/>
                <w:color w:val="000000"/>
                <w:kern w:val="0"/>
                <w:sz w:val="24"/>
                <w:szCs w:val="24"/>
                <w:lang w:bidi="ne-NP"/>
                <w14:ligatures w14:val="none"/>
              </w:rPr>
              <w:t>5.21</w:t>
            </w:r>
          </w:p>
        </w:tc>
        <w:tc>
          <w:tcPr>
            <w:tcW w:w="0" w:type="auto"/>
            <w:hideMark/>
          </w:tcPr>
          <w:p w14:paraId="4FFF633E" w14:textId="77777777" w:rsidR="001D5CFF" w:rsidRPr="001D5CFF" w:rsidRDefault="001D5CFF" w:rsidP="001D5CFF">
            <w:pPr>
              <w:spacing w:after="160" w:line="259" w:lineRule="auto"/>
              <w:jc w:val="both"/>
              <w:rPr>
                <w:rFonts w:ascii="Calibri" w:eastAsia="Times New Roman" w:hAnsi="Calibri"/>
                <w:color w:val="000000"/>
                <w:kern w:val="0"/>
                <w:sz w:val="24"/>
                <w:szCs w:val="24"/>
                <w:lang w:bidi="ne-NP"/>
                <w14:ligatures w14:val="none"/>
              </w:rPr>
            </w:pPr>
            <w:r w:rsidRPr="001D5CFF">
              <w:rPr>
                <w:rFonts w:ascii="Calibri" w:eastAsia="Times New Roman" w:hAnsi="Calibri"/>
                <w:color w:val="000000"/>
                <w:kern w:val="0"/>
                <w:sz w:val="24"/>
                <w:szCs w:val="24"/>
                <w:lang w:bidi="ne-NP"/>
                <w14:ligatures w14:val="none"/>
              </w:rPr>
              <w:t>137.5</w:t>
            </w:r>
          </w:p>
        </w:tc>
        <w:tc>
          <w:tcPr>
            <w:tcW w:w="0" w:type="auto"/>
            <w:hideMark/>
          </w:tcPr>
          <w:p w14:paraId="138F251B" w14:textId="77777777" w:rsidR="001D5CFF" w:rsidRPr="001D5CFF" w:rsidRDefault="001D5CFF" w:rsidP="001D5CFF">
            <w:pPr>
              <w:spacing w:after="160" w:line="259" w:lineRule="auto"/>
              <w:jc w:val="both"/>
              <w:rPr>
                <w:rFonts w:ascii="Calibri" w:eastAsia="Times New Roman" w:hAnsi="Calibri"/>
                <w:color w:val="000000"/>
                <w:kern w:val="0"/>
                <w:sz w:val="24"/>
                <w:szCs w:val="24"/>
                <w:lang w:bidi="ne-NP"/>
                <w14:ligatures w14:val="none"/>
              </w:rPr>
            </w:pPr>
            <w:r w:rsidRPr="001D5CFF">
              <w:rPr>
                <w:rFonts w:ascii="Calibri" w:eastAsia="Times New Roman" w:hAnsi="Calibri"/>
                <w:color w:val="000000"/>
                <w:kern w:val="0"/>
                <w:sz w:val="24"/>
                <w:szCs w:val="24"/>
                <w:lang w:bidi="ne-NP"/>
                <w14:ligatures w14:val="none"/>
              </w:rPr>
              <w:t>135.8</w:t>
            </w:r>
          </w:p>
        </w:tc>
        <w:tc>
          <w:tcPr>
            <w:tcW w:w="0" w:type="auto"/>
            <w:hideMark/>
          </w:tcPr>
          <w:p w14:paraId="758F3FA4" w14:textId="77777777" w:rsidR="001D5CFF" w:rsidRPr="001D5CFF" w:rsidRDefault="001D5CFF" w:rsidP="001D5CFF">
            <w:pPr>
              <w:spacing w:after="160" w:line="259" w:lineRule="auto"/>
              <w:jc w:val="both"/>
              <w:rPr>
                <w:rFonts w:ascii="Calibri" w:eastAsia="Times New Roman" w:hAnsi="Calibri"/>
                <w:color w:val="000000"/>
                <w:kern w:val="0"/>
                <w:sz w:val="24"/>
                <w:szCs w:val="24"/>
                <w:lang w:bidi="ne-NP"/>
                <w14:ligatures w14:val="none"/>
              </w:rPr>
            </w:pPr>
            <w:r w:rsidRPr="001D5CFF">
              <w:rPr>
                <w:rFonts w:ascii="Calibri" w:eastAsia="Times New Roman" w:hAnsi="Calibri"/>
                <w:color w:val="000000"/>
                <w:kern w:val="0"/>
                <w:sz w:val="24"/>
                <w:szCs w:val="24"/>
                <w:lang w:bidi="ne-NP"/>
                <w14:ligatures w14:val="none"/>
              </w:rPr>
              <w:t>-1.23</w:t>
            </w:r>
          </w:p>
        </w:tc>
      </w:tr>
      <w:tr w:rsidR="001D5CFF" w:rsidRPr="001D5CFF" w14:paraId="4BAF7F0B" w14:textId="77777777" w:rsidTr="001D5CFF">
        <w:tc>
          <w:tcPr>
            <w:tcW w:w="0" w:type="auto"/>
            <w:hideMark/>
          </w:tcPr>
          <w:p w14:paraId="1BC126DB" w14:textId="77777777" w:rsidR="001D5CFF" w:rsidRPr="001D5CFF" w:rsidRDefault="001D5CFF" w:rsidP="001D5CFF">
            <w:pPr>
              <w:spacing w:after="160" w:line="259" w:lineRule="auto"/>
              <w:jc w:val="both"/>
              <w:rPr>
                <w:rFonts w:ascii="Calibri" w:eastAsia="Times New Roman" w:hAnsi="Calibri"/>
                <w:color w:val="000000"/>
                <w:kern w:val="0"/>
                <w:sz w:val="24"/>
                <w:szCs w:val="24"/>
                <w:lang w:bidi="ne-NP"/>
                <w14:ligatures w14:val="none"/>
              </w:rPr>
            </w:pPr>
            <w:r w:rsidRPr="001D5CFF">
              <w:rPr>
                <w:rFonts w:ascii="Calibri" w:eastAsia="Times New Roman" w:hAnsi="Calibri"/>
                <w:color w:val="000000"/>
                <w:kern w:val="0"/>
                <w:sz w:val="24"/>
                <w:szCs w:val="24"/>
                <w:lang w:bidi="ne-NP"/>
                <w14:ligatures w14:val="none"/>
              </w:rPr>
              <w:t>11</w:t>
            </w:r>
          </w:p>
        </w:tc>
        <w:tc>
          <w:tcPr>
            <w:tcW w:w="0" w:type="auto"/>
            <w:hideMark/>
          </w:tcPr>
          <w:p w14:paraId="5BFC4E76" w14:textId="77777777" w:rsidR="001D5CFF" w:rsidRPr="001D5CFF" w:rsidRDefault="001D5CFF" w:rsidP="001D5CFF">
            <w:pPr>
              <w:spacing w:after="160" w:line="259" w:lineRule="auto"/>
              <w:jc w:val="both"/>
              <w:rPr>
                <w:rFonts w:ascii="Calibri" w:eastAsia="Times New Roman" w:hAnsi="Calibri"/>
                <w:color w:val="000000"/>
                <w:kern w:val="0"/>
                <w:sz w:val="24"/>
                <w:szCs w:val="24"/>
                <w:lang w:bidi="ne-NP"/>
                <w14:ligatures w14:val="none"/>
              </w:rPr>
            </w:pPr>
            <w:r w:rsidRPr="001D5CFF">
              <w:rPr>
                <w:rFonts w:ascii="Calibri" w:eastAsia="Times New Roman" w:hAnsi="Calibri"/>
                <w:color w:val="000000"/>
                <w:kern w:val="0"/>
                <w:sz w:val="24"/>
                <w:szCs w:val="24"/>
                <w:lang w:bidi="ne-NP"/>
                <w14:ligatures w14:val="none"/>
              </w:rPr>
              <w:t>GI 1/2 Inch Pipe</w:t>
            </w:r>
          </w:p>
        </w:tc>
        <w:tc>
          <w:tcPr>
            <w:tcW w:w="0" w:type="auto"/>
            <w:hideMark/>
          </w:tcPr>
          <w:p w14:paraId="795AF9D4" w14:textId="77777777" w:rsidR="001D5CFF" w:rsidRPr="001D5CFF" w:rsidRDefault="001D5CFF" w:rsidP="001D5CFF">
            <w:pPr>
              <w:spacing w:after="160" w:line="259" w:lineRule="auto"/>
              <w:jc w:val="both"/>
              <w:rPr>
                <w:rFonts w:ascii="Calibri" w:eastAsia="Times New Roman" w:hAnsi="Calibri"/>
                <w:color w:val="000000"/>
                <w:kern w:val="0"/>
                <w:sz w:val="24"/>
                <w:szCs w:val="24"/>
                <w:lang w:bidi="ne-NP"/>
                <w14:ligatures w14:val="none"/>
              </w:rPr>
            </w:pPr>
            <w:r w:rsidRPr="001D5CFF">
              <w:rPr>
                <w:rFonts w:ascii="Calibri" w:eastAsia="Times New Roman" w:hAnsi="Calibri"/>
                <w:color w:val="000000"/>
                <w:kern w:val="0"/>
                <w:sz w:val="24"/>
                <w:szCs w:val="24"/>
                <w:lang w:bidi="ne-NP"/>
                <w14:ligatures w14:val="none"/>
              </w:rPr>
              <w:t>4.69</w:t>
            </w:r>
          </w:p>
        </w:tc>
        <w:tc>
          <w:tcPr>
            <w:tcW w:w="0" w:type="auto"/>
            <w:hideMark/>
          </w:tcPr>
          <w:p w14:paraId="322F289C" w14:textId="77777777" w:rsidR="001D5CFF" w:rsidRPr="001D5CFF" w:rsidRDefault="001D5CFF" w:rsidP="001D5CFF">
            <w:pPr>
              <w:spacing w:after="160" w:line="259" w:lineRule="auto"/>
              <w:jc w:val="both"/>
              <w:rPr>
                <w:rFonts w:ascii="Calibri" w:eastAsia="Times New Roman" w:hAnsi="Calibri"/>
                <w:color w:val="000000"/>
                <w:kern w:val="0"/>
                <w:sz w:val="24"/>
                <w:szCs w:val="24"/>
                <w:lang w:bidi="ne-NP"/>
                <w14:ligatures w14:val="none"/>
              </w:rPr>
            </w:pPr>
            <w:r w:rsidRPr="001D5CFF">
              <w:rPr>
                <w:rFonts w:ascii="Calibri" w:eastAsia="Times New Roman" w:hAnsi="Calibri"/>
                <w:color w:val="000000"/>
                <w:kern w:val="0"/>
                <w:sz w:val="24"/>
                <w:szCs w:val="24"/>
                <w:lang w:bidi="ne-NP"/>
                <w14:ligatures w14:val="none"/>
              </w:rPr>
              <w:t>139.9</w:t>
            </w:r>
          </w:p>
        </w:tc>
        <w:tc>
          <w:tcPr>
            <w:tcW w:w="0" w:type="auto"/>
            <w:hideMark/>
          </w:tcPr>
          <w:p w14:paraId="5635C668" w14:textId="77777777" w:rsidR="001D5CFF" w:rsidRPr="001D5CFF" w:rsidRDefault="001D5CFF" w:rsidP="001D5CFF">
            <w:pPr>
              <w:spacing w:after="160" w:line="259" w:lineRule="auto"/>
              <w:jc w:val="both"/>
              <w:rPr>
                <w:rFonts w:ascii="Calibri" w:eastAsia="Times New Roman" w:hAnsi="Calibri"/>
                <w:color w:val="000000"/>
                <w:kern w:val="0"/>
                <w:sz w:val="24"/>
                <w:szCs w:val="24"/>
                <w:lang w:bidi="ne-NP"/>
                <w14:ligatures w14:val="none"/>
              </w:rPr>
            </w:pPr>
            <w:r w:rsidRPr="001D5CFF">
              <w:rPr>
                <w:rFonts w:ascii="Calibri" w:eastAsia="Times New Roman" w:hAnsi="Calibri"/>
                <w:color w:val="000000"/>
                <w:kern w:val="0"/>
                <w:sz w:val="24"/>
                <w:szCs w:val="24"/>
                <w:lang w:bidi="ne-NP"/>
                <w14:ligatures w14:val="none"/>
              </w:rPr>
              <w:t>137.9</w:t>
            </w:r>
          </w:p>
        </w:tc>
        <w:tc>
          <w:tcPr>
            <w:tcW w:w="0" w:type="auto"/>
            <w:hideMark/>
          </w:tcPr>
          <w:p w14:paraId="68096689" w14:textId="77777777" w:rsidR="001D5CFF" w:rsidRPr="001D5CFF" w:rsidRDefault="001D5CFF" w:rsidP="001D5CFF">
            <w:pPr>
              <w:spacing w:after="160" w:line="259" w:lineRule="auto"/>
              <w:jc w:val="both"/>
              <w:rPr>
                <w:rFonts w:ascii="Calibri" w:eastAsia="Times New Roman" w:hAnsi="Calibri"/>
                <w:color w:val="000000"/>
                <w:kern w:val="0"/>
                <w:sz w:val="24"/>
                <w:szCs w:val="24"/>
                <w:lang w:bidi="ne-NP"/>
                <w14:ligatures w14:val="none"/>
              </w:rPr>
            </w:pPr>
            <w:r w:rsidRPr="001D5CFF">
              <w:rPr>
                <w:rFonts w:ascii="Calibri" w:eastAsia="Times New Roman" w:hAnsi="Calibri"/>
                <w:color w:val="000000"/>
                <w:kern w:val="0"/>
                <w:sz w:val="24"/>
                <w:szCs w:val="24"/>
                <w:lang w:bidi="ne-NP"/>
                <w14:ligatures w14:val="none"/>
              </w:rPr>
              <w:t>-1.46</w:t>
            </w:r>
          </w:p>
        </w:tc>
      </w:tr>
      <w:tr w:rsidR="001D5CFF" w:rsidRPr="001D5CFF" w14:paraId="63629F6F" w14:textId="77777777" w:rsidTr="001D5CFF">
        <w:tc>
          <w:tcPr>
            <w:tcW w:w="0" w:type="auto"/>
            <w:hideMark/>
          </w:tcPr>
          <w:p w14:paraId="26A9AAB4" w14:textId="77777777" w:rsidR="001D5CFF" w:rsidRPr="001D5CFF" w:rsidRDefault="001D5CFF" w:rsidP="001D5CFF">
            <w:pPr>
              <w:spacing w:after="160" w:line="259" w:lineRule="auto"/>
              <w:jc w:val="both"/>
              <w:rPr>
                <w:rFonts w:ascii="Calibri" w:eastAsia="Times New Roman" w:hAnsi="Calibri"/>
                <w:color w:val="000000"/>
                <w:kern w:val="0"/>
                <w:sz w:val="24"/>
                <w:szCs w:val="24"/>
                <w:lang w:bidi="ne-NP"/>
                <w14:ligatures w14:val="none"/>
              </w:rPr>
            </w:pPr>
            <w:r w:rsidRPr="001D5CFF">
              <w:rPr>
                <w:rFonts w:ascii="Calibri" w:eastAsia="Times New Roman" w:hAnsi="Calibri"/>
                <w:color w:val="000000"/>
                <w:kern w:val="0"/>
                <w:sz w:val="24"/>
                <w:szCs w:val="24"/>
                <w:lang w:bidi="ne-NP"/>
                <w14:ligatures w14:val="none"/>
              </w:rPr>
              <w:t>12</w:t>
            </w:r>
          </w:p>
        </w:tc>
        <w:tc>
          <w:tcPr>
            <w:tcW w:w="0" w:type="auto"/>
            <w:hideMark/>
          </w:tcPr>
          <w:p w14:paraId="56068FD5" w14:textId="77777777" w:rsidR="001D5CFF" w:rsidRPr="001D5CFF" w:rsidRDefault="001D5CFF" w:rsidP="001D5CFF">
            <w:pPr>
              <w:spacing w:after="160" w:line="259" w:lineRule="auto"/>
              <w:jc w:val="both"/>
              <w:rPr>
                <w:rFonts w:ascii="Calibri" w:eastAsia="Times New Roman" w:hAnsi="Calibri"/>
                <w:color w:val="000000"/>
                <w:kern w:val="0"/>
                <w:sz w:val="24"/>
                <w:szCs w:val="24"/>
                <w:lang w:bidi="ne-NP"/>
                <w14:ligatures w14:val="none"/>
              </w:rPr>
            </w:pPr>
            <w:r w:rsidRPr="001D5CFF">
              <w:rPr>
                <w:rFonts w:ascii="Calibri" w:eastAsia="Times New Roman" w:hAnsi="Calibri"/>
                <w:color w:val="000000"/>
                <w:kern w:val="0"/>
                <w:sz w:val="24"/>
                <w:szCs w:val="24"/>
                <w:lang w:bidi="ne-NP"/>
                <w14:ligatures w14:val="none"/>
              </w:rPr>
              <w:t>Gabion Wire</w:t>
            </w:r>
          </w:p>
        </w:tc>
        <w:tc>
          <w:tcPr>
            <w:tcW w:w="0" w:type="auto"/>
            <w:hideMark/>
          </w:tcPr>
          <w:p w14:paraId="54C8D36A" w14:textId="77777777" w:rsidR="001D5CFF" w:rsidRPr="001D5CFF" w:rsidRDefault="001D5CFF" w:rsidP="001D5CFF">
            <w:pPr>
              <w:spacing w:after="160" w:line="259" w:lineRule="auto"/>
              <w:jc w:val="both"/>
              <w:rPr>
                <w:rFonts w:ascii="Calibri" w:eastAsia="Times New Roman" w:hAnsi="Calibri"/>
                <w:color w:val="000000"/>
                <w:kern w:val="0"/>
                <w:sz w:val="24"/>
                <w:szCs w:val="24"/>
                <w:lang w:bidi="ne-NP"/>
                <w14:ligatures w14:val="none"/>
              </w:rPr>
            </w:pPr>
            <w:r w:rsidRPr="001D5CFF">
              <w:rPr>
                <w:rFonts w:ascii="Calibri" w:eastAsia="Times New Roman" w:hAnsi="Calibri"/>
                <w:color w:val="000000"/>
                <w:kern w:val="0"/>
                <w:sz w:val="24"/>
                <w:szCs w:val="24"/>
                <w:lang w:bidi="ne-NP"/>
                <w14:ligatures w14:val="none"/>
              </w:rPr>
              <w:t>5.76</w:t>
            </w:r>
          </w:p>
        </w:tc>
        <w:tc>
          <w:tcPr>
            <w:tcW w:w="0" w:type="auto"/>
            <w:hideMark/>
          </w:tcPr>
          <w:p w14:paraId="37637F12" w14:textId="77777777" w:rsidR="001D5CFF" w:rsidRPr="001D5CFF" w:rsidRDefault="001D5CFF" w:rsidP="001D5CFF">
            <w:pPr>
              <w:spacing w:after="160" w:line="259" w:lineRule="auto"/>
              <w:jc w:val="both"/>
              <w:rPr>
                <w:rFonts w:ascii="Calibri" w:eastAsia="Times New Roman" w:hAnsi="Calibri"/>
                <w:color w:val="000000"/>
                <w:kern w:val="0"/>
                <w:sz w:val="24"/>
                <w:szCs w:val="24"/>
                <w:lang w:bidi="ne-NP"/>
                <w14:ligatures w14:val="none"/>
              </w:rPr>
            </w:pPr>
            <w:r w:rsidRPr="001D5CFF">
              <w:rPr>
                <w:rFonts w:ascii="Calibri" w:eastAsia="Times New Roman" w:hAnsi="Calibri"/>
                <w:color w:val="000000"/>
                <w:kern w:val="0"/>
                <w:sz w:val="24"/>
                <w:szCs w:val="24"/>
                <w:lang w:bidi="ne-NP"/>
                <w14:ligatures w14:val="none"/>
              </w:rPr>
              <w:t>144.5</w:t>
            </w:r>
          </w:p>
        </w:tc>
        <w:tc>
          <w:tcPr>
            <w:tcW w:w="0" w:type="auto"/>
            <w:hideMark/>
          </w:tcPr>
          <w:p w14:paraId="7F0EAF26" w14:textId="77777777" w:rsidR="001D5CFF" w:rsidRPr="001D5CFF" w:rsidRDefault="001D5CFF" w:rsidP="001D5CFF">
            <w:pPr>
              <w:spacing w:after="160" w:line="259" w:lineRule="auto"/>
              <w:jc w:val="both"/>
              <w:rPr>
                <w:rFonts w:ascii="Calibri" w:eastAsia="Times New Roman" w:hAnsi="Calibri"/>
                <w:color w:val="000000"/>
                <w:kern w:val="0"/>
                <w:sz w:val="24"/>
                <w:szCs w:val="24"/>
                <w:lang w:bidi="ne-NP"/>
                <w14:ligatures w14:val="none"/>
              </w:rPr>
            </w:pPr>
            <w:r w:rsidRPr="001D5CFF">
              <w:rPr>
                <w:rFonts w:ascii="Calibri" w:eastAsia="Times New Roman" w:hAnsi="Calibri"/>
                <w:color w:val="000000"/>
                <w:kern w:val="0"/>
                <w:sz w:val="24"/>
                <w:szCs w:val="24"/>
                <w:lang w:bidi="ne-NP"/>
                <w14:ligatures w14:val="none"/>
              </w:rPr>
              <w:t>137.7</w:t>
            </w:r>
          </w:p>
        </w:tc>
        <w:tc>
          <w:tcPr>
            <w:tcW w:w="0" w:type="auto"/>
            <w:hideMark/>
          </w:tcPr>
          <w:p w14:paraId="71624E4C" w14:textId="77777777" w:rsidR="001D5CFF" w:rsidRPr="001D5CFF" w:rsidRDefault="001D5CFF" w:rsidP="001D5CFF">
            <w:pPr>
              <w:spacing w:after="160" w:line="259" w:lineRule="auto"/>
              <w:jc w:val="both"/>
              <w:rPr>
                <w:rFonts w:ascii="Calibri" w:eastAsia="Times New Roman" w:hAnsi="Calibri"/>
                <w:color w:val="000000"/>
                <w:kern w:val="0"/>
                <w:sz w:val="24"/>
                <w:szCs w:val="24"/>
                <w:lang w:bidi="ne-NP"/>
                <w14:ligatures w14:val="none"/>
              </w:rPr>
            </w:pPr>
            <w:r w:rsidRPr="001D5CFF">
              <w:rPr>
                <w:rFonts w:ascii="Calibri" w:eastAsia="Times New Roman" w:hAnsi="Calibri"/>
                <w:color w:val="000000"/>
                <w:kern w:val="0"/>
                <w:sz w:val="24"/>
                <w:szCs w:val="24"/>
                <w:lang w:bidi="ne-NP"/>
                <w14:ligatures w14:val="none"/>
              </w:rPr>
              <w:t>-4.68</w:t>
            </w:r>
          </w:p>
        </w:tc>
      </w:tr>
      <w:tr w:rsidR="001D5CFF" w:rsidRPr="001D5CFF" w14:paraId="75E796D6" w14:textId="77777777" w:rsidTr="001D5CFF">
        <w:tc>
          <w:tcPr>
            <w:tcW w:w="0" w:type="auto"/>
            <w:hideMark/>
          </w:tcPr>
          <w:p w14:paraId="598B5FD5" w14:textId="77777777" w:rsidR="001D5CFF" w:rsidRPr="001D5CFF" w:rsidRDefault="001D5CFF" w:rsidP="001D5CFF">
            <w:pPr>
              <w:spacing w:after="160" w:line="259" w:lineRule="auto"/>
              <w:jc w:val="both"/>
              <w:rPr>
                <w:rFonts w:ascii="Calibri" w:eastAsia="Times New Roman" w:hAnsi="Calibri"/>
                <w:color w:val="000000"/>
                <w:kern w:val="0"/>
                <w:sz w:val="24"/>
                <w:szCs w:val="24"/>
                <w:lang w:bidi="ne-NP"/>
                <w14:ligatures w14:val="none"/>
              </w:rPr>
            </w:pPr>
            <w:r w:rsidRPr="001D5CFF">
              <w:rPr>
                <w:rFonts w:ascii="Calibri" w:eastAsia="Times New Roman" w:hAnsi="Calibri"/>
                <w:color w:val="000000"/>
                <w:kern w:val="0"/>
                <w:sz w:val="24"/>
                <w:szCs w:val="24"/>
                <w:lang w:bidi="ne-NP"/>
                <w14:ligatures w14:val="none"/>
              </w:rPr>
              <w:t>13</w:t>
            </w:r>
          </w:p>
        </w:tc>
        <w:tc>
          <w:tcPr>
            <w:tcW w:w="0" w:type="auto"/>
            <w:hideMark/>
          </w:tcPr>
          <w:p w14:paraId="52E8478B" w14:textId="77777777" w:rsidR="001D5CFF" w:rsidRPr="001D5CFF" w:rsidRDefault="001D5CFF" w:rsidP="001D5CFF">
            <w:pPr>
              <w:spacing w:after="160" w:line="259" w:lineRule="auto"/>
              <w:jc w:val="both"/>
              <w:rPr>
                <w:rFonts w:ascii="Calibri" w:eastAsia="Times New Roman" w:hAnsi="Calibri"/>
                <w:color w:val="000000"/>
                <w:kern w:val="0"/>
                <w:sz w:val="24"/>
                <w:szCs w:val="24"/>
                <w:lang w:bidi="ne-NP"/>
                <w14:ligatures w14:val="none"/>
              </w:rPr>
            </w:pPr>
            <w:r w:rsidRPr="001D5CFF">
              <w:rPr>
                <w:rFonts w:ascii="Calibri" w:eastAsia="Times New Roman" w:hAnsi="Calibri"/>
                <w:color w:val="000000"/>
                <w:kern w:val="0"/>
                <w:sz w:val="24"/>
                <w:szCs w:val="24"/>
                <w:lang w:bidi="ne-NP"/>
                <w14:ligatures w14:val="none"/>
              </w:rPr>
              <w:t>Electrical Wire</w:t>
            </w:r>
          </w:p>
        </w:tc>
        <w:tc>
          <w:tcPr>
            <w:tcW w:w="0" w:type="auto"/>
            <w:hideMark/>
          </w:tcPr>
          <w:p w14:paraId="340D7F2E" w14:textId="77777777" w:rsidR="001D5CFF" w:rsidRPr="001D5CFF" w:rsidRDefault="001D5CFF" w:rsidP="001D5CFF">
            <w:pPr>
              <w:spacing w:after="160" w:line="259" w:lineRule="auto"/>
              <w:jc w:val="both"/>
              <w:rPr>
                <w:rFonts w:ascii="Calibri" w:eastAsia="Times New Roman" w:hAnsi="Calibri"/>
                <w:color w:val="000000"/>
                <w:kern w:val="0"/>
                <w:sz w:val="24"/>
                <w:szCs w:val="24"/>
                <w:lang w:bidi="ne-NP"/>
                <w14:ligatures w14:val="none"/>
              </w:rPr>
            </w:pPr>
            <w:r w:rsidRPr="001D5CFF">
              <w:rPr>
                <w:rFonts w:ascii="Calibri" w:eastAsia="Times New Roman" w:hAnsi="Calibri"/>
                <w:color w:val="000000"/>
                <w:kern w:val="0"/>
                <w:sz w:val="24"/>
                <w:szCs w:val="24"/>
                <w:lang w:bidi="ne-NP"/>
                <w14:ligatures w14:val="none"/>
              </w:rPr>
              <w:t>3.21</w:t>
            </w:r>
          </w:p>
        </w:tc>
        <w:tc>
          <w:tcPr>
            <w:tcW w:w="0" w:type="auto"/>
            <w:hideMark/>
          </w:tcPr>
          <w:p w14:paraId="04D4DFD5" w14:textId="77777777" w:rsidR="001D5CFF" w:rsidRPr="001D5CFF" w:rsidRDefault="001D5CFF" w:rsidP="001D5CFF">
            <w:pPr>
              <w:spacing w:after="160" w:line="259" w:lineRule="auto"/>
              <w:jc w:val="both"/>
              <w:rPr>
                <w:rFonts w:ascii="Calibri" w:eastAsia="Times New Roman" w:hAnsi="Calibri"/>
                <w:color w:val="000000"/>
                <w:kern w:val="0"/>
                <w:sz w:val="24"/>
                <w:szCs w:val="24"/>
                <w:lang w:bidi="ne-NP"/>
                <w14:ligatures w14:val="none"/>
              </w:rPr>
            </w:pPr>
            <w:r w:rsidRPr="001D5CFF">
              <w:rPr>
                <w:rFonts w:ascii="Calibri" w:eastAsia="Times New Roman" w:hAnsi="Calibri"/>
                <w:color w:val="000000"/>
                <w:kern w:val="0"/>
                <w:sz w:val="24"/>
                <w:szCs w:val="24"/>
                <w:lang w:bidi="ne-NP"/>
                <w14:ligatures w14:val="none"/>
              </w:rPr>
              <w:t>146.6</w:t>
            </w:r>
          </w:p>
        </w:tc>
        <w:tc>
          <w:tcPr>
            <w:tcW w:w="0" w:type="auto"/>
            <w:hideMark/>
          </w:tcPr>
          <w:p w14:paraId="759B92DE" w14:textId="77777777" w:rsidR="001D5CFF" w:rsidRPr="001D5CFF" w:rsidRDefault="001D5CFF" w:rsidP="001D5CFF">
            <w:pPr>
              <w:spacing w:after="160" w:line="259" w:lineRule="auto"/>
              <w:jc w:val="both"/>
              <w:rPr>
                <w:rFonts w:ascii="Calibri" w:eastAsia="Times New Roman" w:hAnsi="Calibri"/>
                <w:color w:val="000000"/>
                <w:kern w:val="0"/>
                <w:sz w:val="24"/>
                <w:szCs w:val="24"/>
                <w:lang w:bidi="ne-NP"/>
                <w14:ligatures w14:val="none"/>
              </w:rPr>
            </w:pPr>
            <w:r w:rsidRPr="001D5CFF">
              <w:rPr>
                <w:rFonts w:ascii="Calibri" w:eastAsia="Times New Roman" w:hAnsi="Calibri"/>
                <w:color w:val="000000"/>
                <w:kern w:val="0"/>
                <w:sz w:val="24"/>
                <w:szCs w:val="24"/>
                <w:lang w:bidi="ne-NP"/>
                <w14:ligatures w14:val="none"/>
              </w:rPr>
              <w:t>159.3</w:t>
            </w:r>
          </w:p>
        </w:tc>
        <w:tc>
          <w:tcPr>
            <w:tcW w:w="0" w:type="auto"/>
            <w:hideMark/>
          </w:tcPr>
          <w:p w14:paraId="6C5E3A18" w14:textId="77777777" w:rsidR="001D5CFF" w:rsidRPr="001D5CFF" w:rsidRDefault="001D5CFF" w:rsidP="001D5CFF">
            <w:pPr>
              <w:spacing w:after="160" w:line="259" w:lineRule="auto"/>
              <w:jc w:val="both"/>
              <w:rPr>
                <w:rFonts w:ascii="Calibri" w:eastAsia="Times New Roman" w:hAnsi="Calibri"/>
                <w:color w:val="000000"/>
                <w:kern w:val="0"/>
                <w:sz w:val="24"/>
                <w:szCs w:val="24"/>
                <w:lang w:bidi="ne-NP"/>
                <w14:ligatures w14:val="none"/>
              </w:rPr>
            </w:pPr>
            <w:r w:rsidRPr="001D5CFF">
              <w:rPr>
                <w:rFonts w:ascii="Calibri" w:eastAsia="Times New Roman" w:hAnsi="Calibri"/>
                <w:color w:val="000000"/>
                <w:kern w:val="0"/>
                <w:sz w:val="24"/>
                <w:szCs w:val="24"/>
                <w:lang w:bidi="ne-NP"/>
                <w14:ligatures w14:val="none"/>
              </w:rPr>
              <w:t>8.63</w:t>
            </w:r>
          </w:p>
        </w:tc>
      </w:tr>
      <w:tr w:rsidR="001D5CFF" w:rsidRPr="001D5CFF" w14:paraId="74C20282" w14:textId="77777777" w:rsidTr="001D5CFF">
        <w:tc>
          <w:tcPr>
            <w:tcW w:w="0" w:type="auto"/>
            <w:hideMark/>
          </w:tcPr>
          <w:p w14:paraId="50929424" w14:textId="77777777" w:rsidR="001D5CFF" w:rsidRPr="001D5CFF" w:rsidRDefault="001D5CFF" w:rsidP="001D5CFF">
            <w:pPr>
              <w:spacing w:after="160" w:line="259" w:lineRule="auto"/>
              <w:jc w:val="both"/>
              <w:rPr>
                <w:rFonts w:ascii="Calibri" w:eastAsia="Times New Roman" w:hAnsi="Calibri"/>
                <w:color w:val="000000"/>
                <w:kern w:val="0"/>
                <w:sz w:val="24"/>
                <w:szCs w:val="24"/>
                <w:lang w:bidi="ne-NP"/>
                <w14:ligatures w14:val="none"/>
              </w:rPr>
            </w:pPr>
            <w:r w:rsidRPr="001D5CFF">
              <w:rPr>
                <w:rFonts w:ascii="Calibri" w:eastAsia="Times New Roman" w:hAnsi="Calibri"/>
                <w:color w:val="000000"/>
                <w:kern w:val="0"/>
                <w:sz w:val="24"/>
                <w:szCs w:val="24"/>
                <w:lang w:bidi="ne-NP"/>
                <w14:ligatures w14:val="none"/>
              </w:rPr>
              <w:t>14</w:t>
            </w:r>
          </w:p>
        </w:tc>
        <w:tc>
          <w:tcPr>
            <w:tcW w:w="0" w:type="auto"/>
            <w:hideMark/>
          </w:tcPr>
          <w:p w14:paraId="224A016C" w14:textId="77777777" w:rsidR="001D5CFF" w:rsidRPr="001D5CFF" w:rsidRDefault="001D5CFF" w:rsidP="001D5CFF">
            <w:pPr>
              <w:spacing w:after="160" w:line="259" w:lineRule="auto"/>
              <w:jc w:val="both"/>
              <w:rPr>
                <w:rFonts w:ascii="Calibri" w:eastAsia="Times New Roman" w:hAnsi="Calibri"/>
                <w:color w:val="000000"/>
                <w:kern w:val="0"/>
                <w:sz w:val="24"/>
                <w:szCs w:val="24"/>
                <w:lang w:bidi="ne-NP"/>
                <w14:ligatures w14:val="none"/>
              </w:rPr>
            </w:pPr>
            <w:r w:rsidRPr="001D5CFF">
              <w:rPr>
                <w:rFonts w:ascii="Calibri" w:eastAsia="Times New Roman" w:hAnsi="Calibri"/>
                <w:color w:val="000000"/>
                <w:kern w:val="0"/>
                <w:sz w:val="24"/>
                <w:szCs w:val="24"/>
                <w:lang w:bidi="ne-NP"/>
                <w14:ligatures w14:val="none"/>
              </w:rPr>
              <w:t>Mud</w:t>
            </w:r>
          </w:p>
        </w:tc>
        <w:tc>
          <w:tcPr>
            <w:tcW w:w="0" w:type="auto"/>
            <w:hideMark/>
          </w:tcPr>
          <w:p w14:paraId="0C2545A2" w14:textId="77777777" w:rsidR="001D5CFF" w:rsidRPr="001D5CFF" w:rsidRDefault="001D5CFF" w:rsidP="001D5CFF">
            <w:pPr>
              <w:spacing w:after="160" w:line="259" w:lineRule="auto"/>
              <w:jc w:val="both"/>
              <w:rPr>
                <w:rFonts w:ascii="Calibri" w:eastAsia="Times New Roman" w:hAnsi="Calibri"/>
                <w:color w:val="000000"/>
                <w:kern w:val="0"/>
                <w:sz w:val="24"/>
                <w:szCs w:val="24"/>
                <w:lang w:bidi="ne-NP"/>
                <w14:ligatures w14:val="none"/>
              </w:rPr>
            </w:pPr>
            <w:r w:rsidRPr="001D5CFF">
              <w:rPr>
                <w:rFonts w:ascii="Calibri" w:eastAsia="Times New Roman" w:hAnsi="Calibri"/>
                <w:color w:val="000000"/>
                <w:kern w:val="0"/>
                <w:sz w:val="24"/>
                <w:szCs w:val="24"/>
                <w:lang w:bidi="ne-NP"/>
                <w14:ligatures w14:val="none"/>
              </w:rPr>
              <w:t>4.50</w:t>
            </w:r>
          </w:p>
        </w:tc>
        <w:tc>
          <w:tcPr>
            <w:tcW w:w="0" w:type="auto"/>
            <w:hideMark/>
          </w:tcPr>
          <w:p w14:paraId="0CED1093" w14:textId="77777777" w:rsidR="001D5CFF" w:rsidRPr="001D5CFF" w:rsidRDefault="001D5CFF" w:rsidP="001D5CFF">
            <w:pPr>
              <w:spacing w:after="160" w:line="259" w:lineRule="auto"/>
              <w:jc w:val="both"/>
              <w:rPr>
                <w:rFonts w:ascii="Calibri" w:eastAsia="Times New Roman" w:hAnsi="Calibri"/>
                <w:color w:val="000000"/>
                <w:kern w:val="0"/>
                <w:sz w:val="24"/>
                <w:szCs w:val="24"/>
                <w:lang w:bidi="ne-NP"/>
                <w14:ligatures w14:val="none"/>
              </w:rPr>
            </w:pPr>
            <w:r w:rsidRPr="001D5CFF">
              <w:rPr>
                <w:rFonts w:ascii="Calibri" w:eastAsia="Times New Roman" w:hAnsi="Calibri"/>
                <w:color w:val="000000"/>
                <w:kern w:val="0"/>
                <w:sz w:val="24"/>
                <w:szCs w:val="24"/>
                <w:lang w:bidi="ne-NP"/>
                <w14:ligatures w14:val="none"/>
              </w:rPr>
              <w:t>167.7</w:t>
            </w:r>
          </w:p>
        </w:tc>
        <w:tc>
          <w:tcPr>
            <w:tcW w:w="0" w:type="auto"/>
            <w:hideMark/>
          </w:tcPr>
          <w:p w14:paraId="7DA19E22" w14:textId="77777777" w:rsidR="001D5CFF" w:rsidRPr="001D5CFF" w:rsidRDefault="001D5CFF" w:rsidP="001D5CFF">
            <w:pPr>
              <w:spacing w:after="160" w:line="259" w:lineRule="auto"/>
              <w:jc w:val="both"/>
              <w:rPr>
                <w:rFonts w:ascii="Calibri" w:eastAsia="Times New Roman" w:hAnsi="Calibri"/>
                <w:color w:val="000000"/>
                <w:kern w:val="0"/>
                <w:sz w:val="24"/>
                <w:szCs w:val="24"/>
                <w:lang w:bidi="ne-NP"/>
                <w14:ligatures w14:val="none"/>
              </w:rPr>
            </w:pPr>
            <w:r w:rsidRPr="001D5CFF">
              <w:rPr>
                <w:rFonts w:ascii="Calibri" w:eastAsia="Times New Roman" w:hAnsi="Calibri"/>
                <w:color w:val="000000"/>
                <w:kern w:val="0"/>
                <w:sz w:val="24"/>
                <w:szCs w:val="24"/>
                <w:lang w:bidi="ne-NP"/>
                <w14:ligatures w14:val="none"/>
              </w:rPr>
              <w:t>166.4</w:t>
            </w:r>
          </w:p>
        </w:tc>
        <w:tc>
          <w:tcPr>
            <w:tcW w:w="0" w:type="auto"/>
            <w:hideMark/>
          </w:tcPr>
          <w:p w14:paraId="3C3C6A2D" w14:textId="77777777" w:rsidR="001D5CFF" w:rsidRPr="001D5CFF" w:rsidRDefault="001D5CFF" w:rsidP="001D5CFF">
            <w:pPr>
              <w:spacing w:after="160" w:line="259" w:lineRule="auto"/>
              <w:jc w:val="both"/>
              <w:rPr>
                <w:rFonts w:ascii="Calibri" w:eastAsia="Times New Roman" w:hAnsi="Calibri"/>
                <w:color w:val="000000"/>
                <w:kern w:val="0"/>
                <w:sz w:val="24"/>
                <w:szCs w:val="24"/>
                <w:lang w:bidi="ne-NP"/>
                <w14:ligatures w14:val="none"/>
              </w:rPr>
            </w:pPr>
            <w:r w:rsidRPr="001D5CFF">
              <w:rPr>
                <w:rFonts w:ascii="Calibri" w:eastAsia="Times New Roman" w:hAnsi="Calibri"/>
                <w:color w:val="000000"/>
                <w:kern w:val="0"/>
                <w:sz w:val="24"/>
                <w:szCs w:val="24"/>
                <w:lang w:bidi="ne-NP"/>
                <w14:ligatures w14:val="none"/>
              </w:rPr>
              <w:t>-0.77</w:t>
            </w:r>
          </w:p>
        </w:tc>
      </w:tr>
    </w:tbl>
    <w:p w14:paraId="34CEB838" w14:textId="77777777" w:rsidR="001D5CFF" w:rsidRPr="00574B83" w:rsidRDefault="001D5CFF" w:rsidP="001812A0">
      <w:pPr>
        <w:jc w:val="both"/>
        <w:rPr>
          <w:rFonts w:ascii="Calibri" w:eastAsia="Times New Roman" w:hAnsi="Calibri"/>
          <w:color w:val="000000"/>
          <w:kern w:val="0"/>
          <w:sz w:val="24"/>
          <w:szCs w:val="24"/>
          <w:lang w:bidi="ne-NP"/>
          <w14:ligatures w14:val="none"/>
        </w:rPr>
      </w:pPr>
    </w:p>
    <w:p w14:paraId="3E213356" w14:textId="77777777" w:rsidR="00574B83" w:rsidRDefault="00574B83" w:rsidP="001812A0">
      <w:pPr>
        <w:jc w:val="both"/>
        <w:rPr>
          <w:rFonts w:ascii="Calibri" w:eastAsia="Times New Roman" w:hAnsi="Calibri"/>
          <w:b/>
          <w:bCs/>
          <w:color w:val="000000"/>
          <w:kern w:val="0"/>
          <w:sz w:val="24"/>
          <w:szCs w:val="24"/>
          <w:lang w:bidi="ne-NP"/>
          <w14:ligatures w14:val="none"/>
        </w:rPr>
      </w:pPr>
      <w:r w:rsidRPr="00574B83">
        <w:rPr>
          <w:rFonts w:ascii="Calibri" w:eastAsia="Times New Roman" w:hAnsi="Calibri"/>
          <w:b/>
          <w:bCs/>
          <w:color w:val="000000"/>
          <w:kern w:val="0"/>
          <w:sz w:val="24"/>
          <w:szCs w:val="24"/>
          <w:lang w:bidi="ne-NP"/>
          <w14:ligatures w14:val="none"/>
        </w:rPr>
        <w:t>5. Materials with Highest Price Increase Since Base Year (FY 2071/72 to Q2 FY 2082/83)</w:t>
      </w:r>
    </w:p>
    <w:p w14:paraId="1408C00E" w14:textId="180F542C" w:rsidR="00527636" w:rsidRDefault="00527636" w:rsidP="001812A0">
      <w:pPr>
        <w:jc w:val="both"/>
        <w:rPr>
          <w:rFonts w:ascii="Calibri" w:eastAsia="Times New Roman" w:hAnsi="Calibri"/>
          <w:color w:val="000000"/>
          <w:kern w:val="0"/>
          <w:sz w:val="24"/>
          <w:szCs w:val="24"/>
          <w:lang w:bidi="ne-NP"/>
          <w14:ligatures w14:val="none"/>
        </w:rPr>
      </w:pPr>
      <w:r w:rsidRPr="00527636">
        <w:rPr>
          <w:rFonts w:ascii="Calibri" w:eastAsia="Times New Roman" w:hAnsi="Calibri"/>
          <w:color w:val="000000"/>
          <w:kern w:val="0"/>
          <w:sz w:val="24"/>
          <w:szCs w:val="24"/>
          <w:lang w:bidi="ne-NP"/>
          <w14:ligatures w14:val="none"/>
        </w:rPr>
        <w:t>Since FY 2071/72, several materials have recorded substantial price increases. Tile (341.9) shows the highest rise, followed by polythene pipe fittings (294.2) and glass (199.6). Other materials such as polythene pipes, sand, mud, stones, electric wire, and marble have also shown significant increases, indicating sustained</w:t>
      </w:r>
      <w:r w:rsidR="001D3CFE" w:rsidRPr="001D3CFE">
        <w:t xml:space="preserve"> </w:t>
      </w:r>
      <w:r w:rsidR="001D3CFE" w:rsidRPr="001D3CFE">
        <w:rPr>
          <w:rFonts w:ascii="Calibri" w:eastAsia="Times New Roman" w:hAnsi="Calibri"/>
          <w:color w:val="000000"/>
          <w:kern w:val="0"/>
          <w:sz w:val="24"/>
          <w:szCs w:val="24"/>
          <w:lang w:bidi="ne-NP"/>
          <w14:ligatures w14:val="none"/>
        </w:rPr>
        <w:t>long-term</w:t>
      </w:r>
      <w:r w:rsidR="001D3CFE">
        <w:rPr>
          <w:rFonts w:ascii="Calibri" w:eastAsia="Times New Roman" w:hAnsi="Calibri"/>
          <w:color w:val="000000"/>
          <w:kern w:val="0"/>
          <w:sz w:val="24"/>
          <w:szCs w:val="24"/>
          <w:lang w:bidi="ne-NP"/>
          <w14:ligatures w14:val="none"/>
        </w:rPr>
        <w:t xml:space="preserve"> </w:t>
      </w:r>
      <w:r w:rsidR="001D3CFE" w:rsidRPr="001D3CFE">
        <w:rPr>
          <w:rFonts w:ascii="Calibri" w:eastAsia="Times New Roman" w:hAnsi="Calibri"/>
          <w:color w:val="000000"/>
          <w:kern w:val="0"/>
          <w:sz w:val="24"/>
          <w:szCs w:val="24"/>
          <w:lang w:bidi="ne-NP"/>
          <w14:ligatures w14:val="none"/>
        </w:rPr>
        <w:t>rise in construction costs</w:t>
      </w:r>
      <w:r w:rsidRPr="00527636">
        <w:rPr>
          <w:rFonts w:ascii="Calibri" w:eastAsia="Times New Roman" w:hAnsi="Calibri"/>
          <w:color w:val="000000"/>
          <w:kern w:val="0"/>
          <w:sz w:val="24"/>
          <w:szCs w:val="24"/>
          <w:lang w:bidi="ne-NP"/>
          <w14:ligatures w14:val="none"/>
        </w:rPr>
        <w:t>.</w:t>
      </w:r>
    </w:p>
    <w:p w14:paraId="34A00F6F" w14:textId="77777777" w:rsidR="00D03E73" w:rsidRPr="00D03E73" w:rsidRDefault="00D03E73" w:rsidP="001812A0">
      <w:pPr>
        <w:jc w:val="both"/>
        <w:rPr>
          <w:rFonts w:ascii="Calibri" w:eastAsia="Times New Roman" w:hAnsi="Calibri"/>
          <w:color w:val="000000"/>
          <w:kern w:val="0"/>
          <w:sz w:val="24"/>
          <w:szCs w:val="24"/>
          <w:lang w:bidi="ne-NP"/>
          <w14:ligatures w14:val="none"/>
        </w:rPr>
      </w:pPr>
    </w:p>
    <w:tbl>
      <w:tblPr>
        <w:tblStyle w:val="TableGrid"/>
        <w:tblW w:w="5000" w:type="pct"/>
        <w:tblLook w:val="04A0" w:firstRow="1" w:lastRow="0" w:firstColumn="1" w:lastColumn="0" w:noHBand="0" w:noVBand="1"/>
      </w:tblPr>
      <w:tblGrid>
        <w:gridCol w:w="1299"/>
        <w:gridCol w:w="5272"/>
        <w:gridCol w:w="2779"/>
      </w:tblGrid>
      <w:tr w:rsidR="00574B83" w:rsidRPr="00574B83" w14:paraId="5A72A1D3" w14:textId="77777777" w:rsidTr="00117D23">
        <w:tc>
          <w:tcPr>
            <w:tcW w:w="695" w:type="pct"/>
            <w:shd w:val="clear" w:color="auto" w:fill="DEEAF6" w:themeFill="accent5" w:themeFillTint="33"/>
            <w:hideMark/>
          </w:tcPr>
          <w:p w14:paraId="1ABB4908" w14:textId="77777777" w:rsidR="00574B83" w:rsidRPr="00574B83" w:rsidRDefault="00574B83" w:rsidP="00117D23">
            <w:pPr>
              <w:spacing w:after="160" w:line="259" w:lineRule="auto"/>
              <w:jc w:val="center"/>
              <w:rPr>
                <w:rFonts w:ascii="Calibri" w:eastAsia="Times New Roman" w:hAnsi="Calibri"/>
                <w:b/>
                <w:bCs/>
                <w:color w:val="000000"/>
                <w:kern w:val="0"/>
                <w:sz w:val="24"/>
                <w:szCs w:val="24"/>
                <w:lang w:bidi="ne-NP"/>
                <w14:ligatures w14:val="none"/>
              </w:rPr>
            </w:pPr>
            <w:r w:rsidRPr="00574B83">
              <w:rPr>
                <w:rFonts w:ascii="Calibri" w:eastAsia="Times New Roman" w:hAnsi="Calibri"/>
                <w:b/>
                <w:bCs/>
                <w:color w:val="000000"/>
                <w:kern w:val="0"/>
                <w:sz w:val="24"/>
                <w:szCs w:val="24"/>
                <w:lang w:bidi="ne-NP"/>
                <w14:ligatures w14:val="none"/>
              </w:rPr>
              <w:t>S.N.</w:t>
            </w:r>
          </w:p>
        </w:tc>
        <w:tc>
          <w:tcPr>
            <w:tcW w:w="2819" w:type="pct"/>
            <w:shd w:val="clear" w:color="auto" w:fill="DEEAF6" w:themeFill="accent5" w:themeFillTint="33"/>
            <w:hideMark/>
          </w:tcPr>
          <w:p w14:paraId="1DED79C5" w14:textId="77777777" w:rsidR="00574B83" w:rsidRPr="00574B83" w:rsidRDefault="00574B83" w:rsidP="00117D23">
            <w:pPr>
              <w:spacing w:after="160" w:line="259" w:lineRule="auto"/>
              <w:jc w:val="center"/>
              <w:rPr>
                <w:rFonts w:ascii="Calibri" w:eastAsia="Times New Roman" w:hAnsi="Calibri"/>
                <w:b/>
                <w:bCs/>
                <w:color w:val="000000"/>
                <w:kern w:val="0"/>
                <w:sz w:val="24"/>
                <w:szCs w:val="24"/>
                <w:lang w:bidi="ne-NP"/>
                <w14:ligatures w14:val="none"/>
              </w:rPr>
            </w:pPr>
            <w:r w:rsidRPr="00574B83">
              <w:rPr>
                <w:rFonts w:ascii="Calibri" w:eastAsia="Times New Roman" w:hAnsi="Calibri"/>
                <w:b/>
                <w:bCs/>
                <w:color w:val="000000"/>
                <w:kern w:val="0"/>
                <w:sz w:val="24"/>
                <w:szCs w:val="24"/>
                <w:lang w:bidi="ne-NP"/>
                <w14:ligatures w14:val="none"/>
              </w:rPr>
              <w:t>Construction Materials</w:t>
            </w:r>
          </w:p>
        </w:tc>
        <w:tc>
          <w:tcPr>
            <w:tcW w:w="1486" w:type="pct"/>
            <w:shd w:val="clear" w:color="auto" w:fill="DEEAF6" w:themeFill="accent5" w:themeFillTint="33"/>
            <w:hideMark/>
          </w:tcPr>
          <w:p w14:paraId="3A654772" w14:textId="77777777" w:rsidR="00574B83" w:rsidRPr="00574B83" w:rsidRDefault="00574B83" w:rsidP="00117D23">
            <w:pPr>
              <w:spacing w:after="160" w:line="259" w:lineRule="auto"/>
              <w:jc w:val="center"/>
              <w:rPr>
                <w:rFonts w:ascii="Calibri" w:eastAsia="Times New Roman" w:hAnsi="Calibri"/>
                <w:b/>
                <w:bCs/>
                <w:color w:val="000000"/>
                <w:kern w:val="0"/>
                <w:sz w:val="24"/>
                <w:szCs w:val="24"/>
                <w:lang w:bidi="ne-NP"/>
                <w14:ligatures w14:val="none"/>
              </w:rPr>
            </w:pPr>
            <w:r w:rsidRPr="00574B83">
              <w:rPr>
                <w:rFonts w:ascii="Calibri" w:eastAsia="Times New Roman" w:hAnsi="Calibri"/>
                <w:b/>
                <w:bCs/>
                <w:color w:val="000000"/>
                <w:kern w:val="0"/>
                <w:sz w:val="24"/>
                <w:szCs w:val="24"/>
                <w:lang w:bidi="ne-NP"/>
                <w14:ligatures w14:val="none"/>
              </w:rPr>
              <w:t>Price Index</w:t>
            </w:r>
          </w:p>
        </w:tc>
      </w:tr>
      <w:tr w:rsidR="00574B83" w:rsidRPr="00574B83" w14:paraId="30BF2258" w14:textId="77777777" w:rsidTr="001812A0">
        <w:tc>
          <w:tcPr>
            <w:tcW w:w="695" w:type="pct"/>
            <w:hideMark/>
          </w:tcPr>
          <w:p w14:paraId="7AB70B71" w14:textId="77777777" w:rsidR="00574B83" w:rsidRPr="00574B83" w:rsidRDefault="00574B83" w:rsidP="001812A0">
            <w:pPr>
              <w:spacing w:after="160" w:line="259" w:lineRule="auto"/>
              <w:jc w:val="both"/>
              <w:rPr>
                <w:rFonts w:ascii="Calibri" w:eastAsia="Times New Roman" w:hAnsi="Calibri"/>
                <w:color w:val="000000"/>
                <w:kern w:val="0"/>
                <w:sz w:val="24"/>
                <w:szCs w:val="24"/>
                <w:lang w:bidi="ne-NP"/>
                <w14:ligatures w14:val="none"/>
              </w:rPr>
            </w:pPr>
            <w:r w:rsidRPr="00574B83">
              <w:rPr>
                <w:rFonts w:ascii="Calibri" w:eastAsia="Times New Roman" w:hAnsi="Calibri"/>
                <w:color w:val="000000"/>
                <w:kern w:val="0"/>
                <w:sz w:val="24"/>
                <w:szCs w:val="24"/>
                <w:lang w:bidi="ne-NP"/>
                <w14:ligatures w14:val="none"/>
              </w:rPr>
              <w:t>1</w:t>
            </w:r>
          </w:p>
        </w:tc>
        <w:tc>
          <w:tcPr>
            <w:tcW w:w="2819" w:type="pct"/>
            <w:hideMark/>
          </w:tcPr>
          <w:p w14:paraId="5B3EEE8D" w14:textId="77777777" w:rsidR="00574B83" w:rsidRPr="00574B83" w:rsidRDefault="00574B83" w:rsidP="001812A0">
            <w:pPr>
              <w:spacing w:after="160" w:line="259" w:lineRule="auto"/>
              <w:jc w:val="both"/>
              <w:rPr>
                <w:rFonts w:ascii="Calibri" w:eastAsia="Times New Roman" w:hAnsi="Calibri"/>
                <w:color w:val="000000"/>
                <w:kern w:val="0"/>
                <w:sz w:val="24"/>
                <w:szCs w:val="24"/>
                <w:lang w:bidi="ne-NP"/>
                <w14:ligatures w14:val="none"/>
              </w:rPr>
            </w:pPr>
            <w:r w:rsidRPr="00574B83">
              <w:rPr>
                <w:rFonts w:ascii="Calibri" w:eastAsia="Times New Roman" w:hAnsi="Calibri"/>
                <w:color w:val="000000"/>
                <w:kern w:val="0"/>
                <w:sz w:val="24"/>
                <w:szCs w:val="24"/>
                <w:lang w:bidi="ne-NP"/>
                <w14:ligatures w14:val="none"/>
              </w:rPr>
              <w:t>Tile</w:t>
            </w:r>
          </w:p>
        </w:tc>
        <w:tc>
          <w:tcPr>
            <w:tcW w:w="1486" w:type="pct"/>
            <w:hideMark/>
          </w:tcPr>
          <w:p w14:paraId="185284D8" w14:textId="5B4DB514" w:rsidR="00574B83" w:rsidRPr="00574B83" w:rsidRDefault="00574B83" w:rsidP="001812A0">
            <w:pPr>
              <w:spacing w:after="160" w:line="259" w:lineRule="auto"/>
              <w:jc w:val="both"/>
              <w:rPr>
                <w:rFonts w:ascii="Calibri" w:eastAsia="Times New Roman" w:hAnsi="Calibri"/>
                <w:color w:val="000000"/>
                <w:kern w:val="0"/>
                <w:sz w:val="24"/>
                <w:szCs w:val="24"/>
                <w:lang w:bidi="ne-NP"/>
                <w14:ligatures w14:val="none"/>
              </w:rPr>
            </w:pPr>
            <w:r w:rsidRPr="00574B83">
              <w:rPr>
                <w:rFonts w:ascii="Calibri" w:eastAsia="Times New Roman" w:hAnsi="Calibri"/>
                <w:color w:val="000000"/>
                <w:kern w:val="0"/>
                <w:sz w:val="24"/>
                <w:szCs w:val="24"/>
                <w:lang w:bidi="ne-NP"/>
                <w14:ligatures w14:val="none"/>
              </w:rPr>
              <w:t>341.9</w:t>
            </w:r>
          </w:p>
        </w:tc>
      </w:tr>
      <w:tr w:rsidR="00574B83" w:rsidRPr="00574B83" w14:paraId="7F0B601D" w14:textId="77777777" w:rsidTr="001812A0">
        <w:tc>
          <w:tcPr>
            <w:tcW w:w="695" w:type="pct"/>
            <w:hideMark/>
          </w:tcPr>
          <w:p w14:paraId="2F955593" w14:textId="77777777" w:rsidR="00574B83" w:rsidRPr="00574B83" w:rsidRDefault="00574B83" w:rsidP="001812A0">
            <w:pPr>
              <w:spacing w:after="160" w:line="259" w:lineRule="auto"/>
              <w:jc w:val="both"/>
              <w:rPr>
                <w:rFonts w:ascii="Calibri" w:eastAsia="Times New Roman" w:hAnsi="Calibri"/>
                <w:color w:val="000000"/>
                <w:kern w:val="0"/>
                <w:sz w:val="24"/>
                <w:szCs w:val="24"/>
                <w:lang w:bidi="ne-NP"/>
                <w14:ligatures w14:val="none"/>
              </w:rPr>
            </w:pPr>
            <w:r w:rsidRPr="00574B83">
              <w:rPr>
                <w:rFonts w:ascii="Calibri" w:eastAsia="Times New Roman" w:hAnsi="Calibri"/>
                <w:color w:val="000000"/>
                <w:kern w:val="0"/>
                <w:sz w:val="24"/>
                <w:szCs w:val="24"/>
                <w:lang w:bidi="ne-NP"/>
                <w14:ligatures w14:val="none"/>
              </w:rPr>
              <w:t>2</w:t>
            </w:r>
          </w:p>
        </w:tc>
        <w:tc>
          <w:tcPr>
            <w:tcW w:w="2819" w:type="pct"/>
            <w:hideMark/>
          </w:tcPr>
          <w:p w14:paraId="0F00A672" w14:textId="77777777" w:rsidR="00574B83" w:rsidRPr="00574B83" w:rsidRDefault="00574B83" w:rsidP="001812A0">
            <w:pPr>
              <w:spacing w:after="160" w:line="259" w:lineRule="auto"/>
              <w:jc w:val="both"/>
              <w:rPr>
                <w:rFonts w:ascii="Calibri" w:eastAsia="Times New Roman" w:hAnsi="Calibri"/>
                <w:color w:val="000000"/>
                <w:kern w:val="0"/>
                <w:sz w:val="24"/>
                <w:szCs w:val="24"/>
                <w:lang w:bidi="ne-NP"/>
                <w14:ligatures w14:val="none"/>
              </w:rPr>
            </w:pPr>
            <w:r w:rsidRPr="00574B83">
              <w:rPr>
                <w:rFonts w:ascii="Calibri" w:eastAsia="Times New Roman" w:hAnsi="Calibri"/>
                <w:color w:val="000000"/>
                <w:kern w:val="0"/>
                <w:sz w:val="24"/>
                <w:szCs w:val="24"/>
                <w:lang w:bidi="ne-NP"/>
                <w14:ligatures w14:val="none"/>
              </w:rPr>
              <w:t>Polythene pipe fittings</w:t>
            </w:r>
          </w:p>
        </w:tc>
        <w:tc>
          <w:tcPr>
            <w:tcW w:w="1486" w:type="pct"/>
            <w:hideMark/>
          </w:tcPr>
          <w:p w14:paraId="26FE262D" w14:textId="4F28B0F5" w:rsidR="00574B83" w:rsidRPr="00574B83" w:rsidRDefault="00574B83" w:rsidP="001812A0">
            <w:pPr>
              <w:spacing w:after="160" w:line="259" w:lineRule="auto"/>
              <w:jc w:val="both"/>
              <w:rPr>
                <w:rFonts w:ascii="Calibri" w:eastAsia="Times New Roman" w:hAnsi="Calibri"/>
                <w:color w:val="000000"/>
                <w:kern w:val="0"/>
                <w:sz w:val="24"/>
                <w:szCs w:val="24"/>
                <w:lang w:bidi="ne-NP"/>
                <w14:ligatures w14:val="none"/>
              </w:rPr>
            </w:pPr>
            <w:r w:rsidRPr="00574B83">
              <w:rPr>
                <w:rFonts w:ascii="Calibri" w:eastAsia="Times New Roman" w:hAnsi="Calibri"/>
                <w:color w:val="000000"/>
                <w:kern w:val="0"/>
                <w:sz w:val="24"/>
                <w:szCs w:val="24"/>
                <w:lang w:bidi="ne-NP"/>
                <w14:ligatures w14:val="none"/>
              </w:rPr>
              <w:t>294.2</w:t>
            </w:r>
          </w:p>
        </w:tc>
      </w:tr>
      <w:tr w:rsidR="00574B83" w:rsidRPr="00574B83" w14:paraId="222530C3" w14:textId="77777777" w:rsidTr="001812A0">
        <w:tc>
          <w:tcPr>
            <w:tcW w:w="695" w:type="pct"/>
            <w:hideMark/>
          </w:tcPr>
          <w:p w14:paraId="72733B95" w14:textId="77777777" w:rsidR="00574B83" w:rsidRPr="00574B83" w:rsidRDefault="00574B83" w:rsidP="001812A0">
            <w:pPr>
              <w:spacing w:after="160" w:line="259" w:lineRule="auto"/>
              <w:jc w:val="both"/>
              <w:rPr>
                <w:rFonts w:ascii="Calibri" w:eastAsia="Times New Roman" w:hAnsi="Calibri"/>
                <w:color w:val="000000"/>
                <w:kern w:val="0"/>
                <w:sz w:val="24"/>
                <w:szCs w:val="24"/>
                <w:lang w:bidi="ne-NP"/>
                <w14:ligatures w14:val="none"/>
              </w:rPr>
            </w:pPr>
            <w:r w:rsidRPr="00574B83">
              <w:rPr>
                <w:rFonts w:ascii="Calibri" w:eastAsia="Times New Roman" w:hAnsi="Calibri"/>
                <w:color w:val="000000"/>
                <w:kern w:val="0"/>
                <w:sz w:val="24"/>
                <w:szCs w:val="24"/>
                <w:lang w:bidi="ne-NP"/>
                <w14:ligatures w14:val="none"/>
              </w:rPr>
              <w:t>3</w:t>
            </w:r>
          </w:p>
        </w:tc>
        <w:tc>
          <w:tcPr>
            <w:tcW w:w="2819" w:type="pct"/>
            <w:hideMark/>
          </w:tcPr>
          <w:p w14:paraId="49C1B77E" w14:textId="77777777" w:rsidR="00574B83" w:rsidRPr="00574B83" w:rsidRDefault="00574B83" w:rsidP="001812A0">
            <w:pPr>
              <w:spacing w:after="160" w:line="259" w:lineRule="auto"/>
              <w:jc w:val="both"/>
              <w:rPr>
                <w:rFonts w:ascii="Calibri" w:eastAsia="Times New Roman" w:hAnsi="Calibri"/>
                <w:color w:val="000000"/>
                <w:kern w:val="0"/>
                <w:sz w:val="24"/>
                <w:szCs w:val="24"/>
                <w:lang w:bidi="ne-NP"/>
                <w14:ligatures w14:val="none"/>
              </w:rPr>
            </w:pPr>
            <w:r w:rsidRPr="00574B83">
              <w:rPr>
                <w:rFonts w:ascii="Calibri" w:eastAsia="Times New Roman" w:hAnsi="Calibri"/>
                <w:color w:val="000000"/>
                <w:kern w:val="0"/>
                <w:sz w:val="24"/>
                <w:szCs w:val="24"/>
                <w:lang w:bidi="ne-NP"/>
                <w14:ligatures w14:val="none"/>
              </w:rPr>
              <w:t>Glass (simple category)</w:t>
            </w:r>
          </w:p>
        </w:tc>
        <w:tc>
          <w:tcPr>
            <w:tcW w:w="1486" w:type="pct"/>
            <w:hideMark/>
          </w:tcPr>
          <w:p w14:paraId="27A93A10" w14:textId="67198809" w:rsidR="00574B83" w:rsidRPr="00574B83" w:rsidRDefault="00574B83" w:rsidP="001812A0">
            <w:pPr>
              <w:spacing w:after="160" w:line="259" w:lineRule="auto"/>
              <w:jc w:val="both"/>
              <w:rPr>
                <w:rFonts w:ascii="Calibri" w:eastAsia="Times New Roman" w:hAnsi="Calibri"/>
                <w:color w:val="000000"/>
                <w:kern w:val="0"/>
                <w:sz w:val="24"/>
                <w:szCs w:val="24"/>
                <w:lang w:bidi="ne-NP"/>
                <w14:ligatures w14:val="none"/>
              </w:rPr>
            </w:pPr>
            <w:r w:rsidRPr="00574B83">
              <w:rPr>
                <w:rFonts w:ascii="Calibri" w:eastAsia="Times New Roman" w:hAnsi="Calibri"/>
                <w:color w:val="000000"/>
                <w:kern w:val="0"/>
                <w:sz w:val="24"/>
                <w:szCs w:val="24"/>
                <w:lang w:bidi="ne-NP"/>
                <w14:ligatures w14:val="none"/>
              </w:rPr>
              <w:t>199.6</w:t>
            </w:r>
          </w:p>
        </w:tc>
      </w:tr>
      <w:tr w:rsidR="00574B83" w:rsidRPr="00574B83" w14:paraId="5734D60C" w14:textId="77777777" w:rsidTr="001812A0">
        <w:tc>
          <w:tcPr>
            <w:tcW w:w="695" w:type="pct"/>
            <w:hideMark/>
          </w:tcPr>
          <w:p w14:paraId="07CC5E1E" w14:textId="77777777" w:rsidR="00574B83" w:rsidRPr="00574B83" w:rsidRDefault="00574B83" w:rsidP="001812A0">
            <w:pPr>
              <w:spacing w:after="160" w:line="259" w:lineRule="auto"/>
              <w:jc w:val="both"/>
              <w:rPr>
                <w:rFonts w:ascii="Calibri" w:eastAsia="Times New Roman" w:hAnsi="Calibri"/>
                <w:color w:val="000000"/>
                <w:kern w:val="0"/>
                <w:sz w:val="24"/>
                <w:szCs w:val="24"/>
                <w:lang w:bidi="ne-NP"/>
                <w14:ligatures w14:val="none"/>
              </w:rPr>
            </w:pPr>
            <w:r w:rsidRPr="00574B83">
              <w:rPr>
                <w:rFonts w:ascii="Calibri" w:eastAsia="Times New Roman" w:hAnsi="Calibri"/>
                <w:color w:val="000000"/>
                <w:kern w:val="0"/>
                <w:sz w:val="24"/>
                <w:szCs w:val="24"/>
                <w:lang w:bidi="ne-NP"/>
                <w14:ligatures w14:val="none"/>
              </w:rPr>
              <w:t>4</w:t>
            </w:r>
          </w:p>
        </w:tc>
        <w:tc>
          <w:tcPr>
            <w:tcW w:w="2819" w:type="pct"/>
            <w:hideMark/>
          </w:tcPr>
          <w:p w14:paraId="46435DFE" w14:textId="77777777" w:rsidR="00574B83" w:rsidRPr="00574B83" w:rsidRDefault="00574B83" w:rsidP="001812A0">
            <w:pPr>
              <w:spacing w:after="160" w:line="259" w:lineRule="auto"/>
              <w:jc w:val="both"/>
              <w:rPr>
                <w:rFonts w:ascii="Calibri" w:eastAsia="Times New Roman" w:hAnsi="Calibri"/>
                <w:color w:val="000000"/>
                <w:kern w:val="0"/>
                <w:sz w:val="24"/>
                <w:szCs w:val="24"/>
                <w:lang w:bidi="ne-NP"/>
                <w14:ligatures w14:val="none"/>
              </w:rPr>
            </w:pPr>
            <w:r w:rsidRPr="00574B83">
              <w:rPr>
                <w:rFonts w:ascii="Calibri" w:eastAsia="Times New Roman" w:hAnsi="Calibri"/>
                <w:color w:val="000000"/>
                <w:kern w:val="0"/>
                <w:sz w:val="24"/>
                <w:szCs w:val="24"/>
                <w:lang w:bidi="ne-NP"/>
                <w14:ligatures w14:val="none"/>
              </w:rPr>
              <w:t>Polythene pipe</w:t>
            </w:r>
          </w:p>
        </w:tc>
        <w:tc>
          <w:tcPr>
            <w:tcW w:w="1486" w:type="pct"/>
            <w:hideMark/>
          </w:tcPr>
          <w:p w14:paraId="2179C2D9" w14:textId="5984A3B9" w:rsidR="00574B83" w:rsidRPr="00574B83" w:rsidRDefault="00574B83" w:rsidP="001812A0">
            <w:pPr>
              <w:spacing w:after="160" w:line="259" w:lineRule="auto"/>
              <w:jc w:val="both"/>
              <w:rPr>
                <w:rFonts w:ascii="Calibri" w:eastAsia="Times New Roman" w:hAnsi="Calibri"/>
                <w:color w:val="000000"/>
                <w:kern w:val="0"/>
                <w:sz w:val="24"/>
                <w:szCs w:val="24"/>
                <w:lang w:bidi="ne-NP"/>
                <w14:ligatures w14:val="none"/>
              </w:rPr>
            </w:pPr>
            <w:r w:rsidRPr="00574B83">
              <w:rPr>
                <w:rFonts w:ascii="Calibri" w:eastAsia="Times New Roman" w:hAnsi="Calibri"/>
                <w:color w:val="000000"/>
                <w:kern w:val="0"/>
                <w:sz w:val="24"/>
                <w:szCs w:val="24"/>
                <w:lang w:bidi="ne-NP"/>
                <w14:ligatures w14:val="none"/>
              </w:rPr>
              <w:t>198.2</w:t>
            </w:r>
          </w:p>
        </w:tc>
      </w:tr>
      <w:tr w:rsidR="00574B83" w:rsidRPr="00574B83" w14:paraId="3928F535" w14:textId="77777777" w:rsidTr="001812A0">
        <w:tc>
          <w:tcPr>
            <w:tcW w:w="695" w:type="pct"/>
            <w:hideMark/>
          </w:tcPr>
          <w:p w14:paraId="210474AF" w14:textId="77777777" w:rsidR="00574B83" w:rsidRPr="00574B83" w:rsidRDefault="00574B83" w:rsidP="001812A0">
            <w:pPr>
              <w:spacing w:after="160" w:line="259" w:lineRule="auto"/>
              <w:jc w:val="both"/>
              <w:rPr>
                <w:rFonts w:ascii="Calibri" w:eastAsia="Times New Roman" w:hAnsi="Calibri"/>
                <w:color w:val="000000"/>
                <w:kern w:val="0"/>
                <w:sz w:val="24"/>
                <w:szCs w:val="24"/>
                <w:lang w:bidi="ne-NP"/>
                <w14:ligatures w14:val="none"/>
              </w:rPr>
            </w:pPr>
            <w:r w:rsidRPr="00574B83">
              <w:rPr>
                <w:rFonts w:ascii="Calibri" w:eastAsia="Times New Roman" w:hAnsi="Calibri"/>
                <w:color w:val="000000"/>
                <w:kern w:val="0"/>
                <w:sz w:val="24"/>
                <w:szCs w:val="24"/>
                <w:lang w:bidi="ne-NP"/>
                <w14:ligatures w14:val="none"/>
              </w:rPr>
              <w:t>5</w:t>
            </w:r>
          </w:p>
        </w:tc>
        <w:tc>
          <w:tcPr>
            <w:tcW w:w="2819" w:type="pct"/>
            <w:hideMark/>
          </w:tcPr>
          <w:p w14:paraId="42FD2DBF" w14:textId="77777777" w:rsidR="00574B83" w:rsidRPr="00574B83" w:rsidRDefault="00574B83" w:rsidP="001812A0">
            <w:pPr>
              <w:spacing w:after="160" w:line="259" w:lineRule="auto"/>
              <w:jc w:val="both"/>
              <w:rPr>
                <w:rFonts w:ascii="Calibri" w:eastAsia="Times New Roman" w:hAnsi="Calibri"/>
                <w:color w:val="000000"/>
                <w:kern w:val="0"/>
                <w:sz w:val="24"/>
                <w:szCs w:val="24"/>
                <w:lang w:bidi="ne-NP"/>
                <w14:ligatures w14:val="none"/>
              </w:rPr>
            </w:pPr>
            <w:r w:rsidRPr="00574B83">
              <w:rPr>
                <w:rFonts w:ascii="Calibri" w:eastAsia="Times New Roman" w:hAnsi="Calibri"/>
                <w:color w:val="000000"/>
                <w:kern w:val="0"/>
                <w:sz w:val="24"/>
                <w:szCs w:val="24"/>
                <w:lang w:bidi="ne-NP"/>
                <w14:ligatures w14:val="none"/>
              </w:rPr>
              <w:t>Sand</w:t>
            </w:r>
          </w:p>
        </w:tc>
        <w:tc>
          <w:tcPr>
            <w:tcW w:w="1486" w:type="pct"/>
            <w:hideMark/>
          </w:tcPr>
          <w:p w14:paraId="05D0DFDE" w14:textId="5089E3F8" w:rsidR="00574B83" w:rsidRPr="00574B83" w:rsidRDefault="00574B83" w:rsidP="001812A0">
            <w:pPr>
              <w:spacing w:after="160" w:line="259" w:lineRule="auto"/>
              <w:jc w:val="both"/>
              <w:rPr>
                <w:rFonts w:ascii="Calibri" w:eastAsia="Times New Roman" w:hAnsi="Calibri"/>
                <w:color w:val="000000"/>
                <w:kern w:val="0"/>
                <w:sz w:val="24"/>
                <w:szCs w:val="24"/>
                <w:lang w:bidi="ne-NP"/>
                <w14:ligatures w14:val="none"/>
              </w:rPr>
            </w:pPr>
            <w:r w:rsidRPr="00574B83">
              <w:rPr>
                <w:rFonts w:ascii="Calibri" w:eastAsia="Times New Roman" w:hAnsi="Calibri"/>
                <w:color w:val="000000"/>
                <w:kern w:val="0"/>
                <w:sz w:val="24"/>
                <w:szCs w:val="24"/>
                <w:lang w:bidi="ne-NP"/>
                <w14:ligatures w14:val="none"/>
              </w:rPr>
              <w:t>1</w:t>
            </w:r>
            <w:r w:rsidR="00F80CC2">
              <w:rPr>
                <w:rFonts w:ascii="Calibri" w:eastAsia="Times New Roman" w:hAnsi="Calibri"/>
                <w:color w:val="000000"/>
                <w:kern w:val="0"/>
                <w:sz w:val="24"/>
                <w:szCs w:val="24"/>
                <w:lang w:bidi="ne-NP"/>
                <w14:ligatures w14:val="none"/>
              </w:rPr>
              <w:t>76</w:t>
            </w:r>
            <w:r w:rsidRPr="00574B83">
              <w:rPr>
                <w:rFonts w:ascii="Calibri" w:eastAsia="Times New Roman" w:hAnsi="Calibri"/>
                <w:color w:val="000000"/>
                <w:kern w:val="0"/>
                <w:sz w:val="24"/>
                <w:szCs w:val="24"/>
                <w:lang w:bidi="ne-NP"/>
                <w14:ligatures w14:val="none"/>
              </w:rPr>
              <w:t>.</w:t>
            </w:r>
            <w:r w:rsidR="00F80CC2">
              <w:rPr>
                <w:rFonts w:ascii="Calibri" w:eastAsia="Times New Roman" w:hAnsi="Calibri"/>
                <w:color w:val="000000"/>
                <w:kern w:val="0"/>
                <w:sz w:val="24"/>
                <w:szCs w:val="24"/>
                <w:lang w:bidi="ne-NP"/>
                <w14:ligatures w14:val="none"/>
              </w:rPr>
              <w:t>4</w:t>
            </w:r>
          </w:p>
        </w:tc>
      </w:tr>
      <w:tr w:rsidR="00574B83" w:rsidRPr="00574B83" w14:paraId="30367D7D" w14:textId="77777777" w:rsidTr="001812A0">
        <w:tc>
          <w:tcPr>
            <w:tcW w:w="695" w:type="pct"/>
            <w:hideMark/>
          </w:tcPr>
          <w:p w14:paraId="7353B683" w14:textId="77777777" w:rsidR="00574B83" w:rsidRPr="00574B83" w:rsidRDefault="00574B83" w:rsidP="001812A0">
            <w:pPr>
              <w:spacing w:after="160" w:line="259" w:lineRule="auto"/>
              <w:jc w:val="both"/>
              <w:rPr>
                <w:rFonts w:ascii="Calibri" w:eastAsia="Times New Roman" w:hAnsi="Calibri"/>
                <w:color w:val="000000"/>
                <w:kern w:val="0"/>
                <w:sz w:val="24"/>
                <w:szCs w:val="24"/>
                <w:lang w:bidi="ne-NP"/>
                <w14:ligatures w14:val="none"/>
              </w:rPr>
            </w:pPr>
            <w:r w:rsidRPr="00574B83">
              <w:rPr>
                <w:rFonts w:ascii="Calibri" w:eastAsia="Times New Roman" w:hAnsi="Calibri"/>
                <w:color w:val="000000"/>
                <w:kern w:val="0"/>
                <w:sz w:val="24"/>
                <w:szCs w:val="24"/>
                <w:lang w:bidi="ne-NP"/>
                <w14:ligatures w14:val="none"/>
              </w:rPr>
              <w:t>6</w:t>
            </w:r>
          </w:p>
        </w:tc>
        <w:tc>
          <w:tcPr>
            <w:tcW w:w="2819" w:type="pct"/>
            <w:hideMark/>
          </w:tcPr>
          <w:p w14:paraId="6D8DABA2" w14:textId="77777777" w:rsidR="00574B83" w:rsidRPr="00574B83" w:rsidRDefault="00574B83" w:rsidP="001812A0">
            <w:pPr>
              <w:spacing w:after="160" w:line="259" w:lineRule="auto"/>
              <w:jc w:val="both"/>
              <w:rPr>
                <w:rFonts w:ascii="Calibri" w:eastAsia="Times New Roman" w:hAnsi="Calibri"/>
                <w:color w:val="000000"/>
                <w:kern w:val="0"/>
                <w:sz w:val="24"/>
                <w:szCs w:val="24"/>
                <w:lang w:bidi="ne-NP"/>
                <w14:ligatures w14:val="none"/>
              </w:rPr>
            </w:pPr>
            <w:r w:rsidRPr="00574B83">
              <w:rPr>
                <w:rFonts w:ascii="Calibri" w:eastAsia="Times New Roman" w:hAnsi="Calibri"/>
                <w:color w:val="000000"/>
                <w:kern w:val="0"/>
                <w:sz w:val="24"/>
                <w:szCs w:val="24"/>
                <w:lang w:bidi="ne-NP"/>
                <w14:ligatures w14:val="none"/>
              </w:rPr>
              <w:t>Mud</w:t>
            </w:r>
          </w:p>
        </w:tc>
        <w:tc>
          <w:tcPr>
            <w:tcW w:w="1486" w:type="pct"/>
            <w:hideMark/>
          </w:tcPr>
          <w:p w14:paraId="6EFE635B" w14:textId="54FB9349" w:rsidR="00574B83" w:rsidRPr="00574B83" w:rsidRDefault="00574B83" w:rsidP="001812A0">
            <w:pPr>
              <w:spacing w:after="160" w:line="259" w:lineRule="auto"/>
              <w:jc w:val="both"/>
              <w:rPr>
                <w:rFonts w:ascii="Calibri" w:eastAsia="Times New Roman" w:hAnsi="Calibri"/>
                <w:color w:val="000000"/>
                <w:kern w:val="0"/>
                <w:sz w:val="24"/>
                <w:szCs w:val="24"/>
                <w:lang w:bidi="ne-NP"/>
                <w14:ligatures w14:val="none"/>
              </w:rPr>
            </w:pPr>
            <w:r w:rsidRPr="00574B83">
              <w:rPr>
                <w:rFonts w:ascii="Calibri" w:eastAsia="Times New Roman" w:hAnsi="Calibri"/>
                <w:color w:val="000000"/>
                <w:kern w:val="0"/>
                <w:sz w:val="24"/>
                <w:szCs w:val="24"/>
                <w:lang w:bidi="ne-NP"/>
                <w14:ligatures w14:val="none"/>
              </w:rPr>
              <w:t>166.4</w:t>
            </w:r>
          </w:p>
        </w:tc>
      </w:tr>
      <w:tr w:rsidR="00574B83" w:rsidRPr="00574B83" w14:paraId="38E276FB" w14:textId="77777777" w:rsidTr="001812A0">
        <w:tc>
          <w:tcPr>
            <w:tcW w:w="695" w:type="pct"/>
            <w:hideMark/>
          </w:tcPr>
          <w:p w14:paraId="3578FFC0" w14:textId="77777777" w:rsidR="00574B83" w:rsidRPr="00574B83" w:rsidRDefault="00574B83" w:rsidP="001812A0">
            <w:pPr>
              <w:spacing w:after="160" w:line="259" w:lineRule="auto"/>
              <w:jc w:val="both"/>
              <w:rPr>
                <w:rFonts w:ascii="Calibri" w:eastAsia="Times New Roman" w:hAnsi="Calibri"/>
                <w:color w:val="000000"/>
                <w:kern w:val="0"/>
                <w:sz w:val="24"/>
                <w:szCs w:val="24"/>
                <w:lang w:bidi="ne-NP"/>
                <w14:ligatures w14:val="none"/>
              </w:rPr>
            </w:pPr>
            <w:r w:rsidRPr="00574B83">
              <w:rPr>
                <w:rFonts w:ascii="Calibri" w:eastAsia="Times New Roman" w:hAnsi="Calibri"/>
                <w:color w:val="000000"/>
                <w:kern w:val="0"/>
                <w:sz w:val="24"/>
                <w:szCs w:val="24"/>
                <w:lang w:bidi="ne-NP"/>
                <w14:ligatures w14:val="none"/>
              </w:rPr>
              <w:t>7</w:t>
            </w:r>
          </w:p>
        </w:tc>
        <w:tc>
          <w:tcPr>
            <w:tcW w:w="2819" w:type="pct"/>
            <w:hideMark/>
          </w:tcPr>
          <w:p w14:paraId="7DF82C55" w14:textId="77777777" w:rsidR="00574B83" w:rsidRPr="00574B83" w:rsidRDefault="00574B83" w:rsidP="001812A0">
            <w:pPr>
              <w:spacing w:after="160" w:line="259" w:lineRule="auto"/>
              <w:jc w:val="both"/>
              <w:rPr>
                <w:rFonts w:ascii="Calibri" w:eastAsia="Times New Roman" w:hAnsi="Calibri"/>
                <w:color w:val="000000"/>
                <w:kern w:val="0"/>
                <w:sz w:val="24"/>
                <w:szCs w:val="24"/>
                <w:lang w:bidi="ne-NP"/>
                <w14:ligatures w14:val="none"/>
              </w:rPr>
            </w:pPr>
            <w:r w:rsidRPr="00574B83">
              <w:rPr>
                <w:rFonts w:ascii="Calibri" w:eastAsia="Times New Roman" w:hAnsi="Calibri"/>
                <w:color w:val="000000"/>
                <w:kern w:val="0"/>
                <w:sz w:val="24"/>
                <w:szCs w:val="24"/>
                <w:lang w:bidi="ne-NP"/>
                <w14:ligatures w14:val="none"/>
              </w:rPr>
              <w:t>Stones</w:t>
            </w:r>
          </w:p>
        </w:tc>
        <w:tc>
          <w:tcPr>
            <w:tcW w:w="1486" w:type="pct"/>
            <w:hideMark/>
          </w:tcPr>
          <w:p w14:paraId="34C9B2F0" w14:textId="524E2A77" w:rsidR="00574B83" w:rsidRPr="00574B83" w:rsidRDefault="00574B83" w:rsidP="001812A0">
            <w:pPr>
              <w:spacing w:after="160" w:line="259" w:lineRule="auto"/>
              <w:jc w:val="both"/>
              <w:rPr>
                <w:rFonts w:ascii="Calibri" w:eastAsia="Times New Roman" w:hAnsi="Calibri"/>
                <w:color w:val="000000"/>
                <w:kern w:val="0"/>
                <w:sz w:val="24"/>
                <w:szCs w:val="24"/>
                <w:lang w:bidi="ne-NP"/>
                <w14:ligatures w14:val="none"/>
              </w:rPr>
            </w:pPr>
            <w:r w:rsidRPr="00574B83">
              <w:rPr>
                <w:rFonts w:ascii="Calibri" w:eastAsia="Times New Roman" w:hAnsi="Calibri"/>
                <w:color w:val="000000"/>
                <w:kern w:val="0"/>
                <w:sz w:val="24"/>
                <w:szCs w:val="24"/>
                <w:lang w:bidi="ne-NP"/>
                <w14:ligatures w14:val="none"/>
              </w:rPr>
              <w:t>160.3</w:t>
            </w:r>
          </w:p>
        </w:tc>
      </w:tr>
      <w:tr w:rsidR="00574B83" w:rsidRPr="00574B83" w14:paraId="572D227C" w14:textId="77777777" w:rsidTr="001812A0">
        <w:tc>
          <w:tcPr>
            <w:tcW w:w="695" w:type="pct"/>
            <w:hideMark/>
          </w:tcPr>
          <w:p w14:paraId="62FB5432" w14:textId="77777777" w:rsidR="00574B83" w:rsidRPr="00574B83" w:rsidRDefault="00574B83" w:rsidP="001812A0">
            <w:pPr>
              <w:spacing w:after="160" w:line="259" w:lineRule="auto"/>
              <w:jc w:val="both"/>
              <w:rPr>
                <w:rFonts w:ascii="Calibri" w:eastAsia="Times New Roman" w:hAnsi="Calibri"/>
                <w:color w:val="000000"/>
                <w:kern w:val="0"/>
                <w:sz w:val="24"/>
                <w:szCs w:val="24"/>
                <w:lang w:bidi="ne-NP"/>
                <w14:ligatures w14:val="none"/>
              </w:rPr>
            </w:pPr>
            <w:r w:rsidRPr="00574B83">
              <w:rPr>
                <w:rFonts w:ascii="Calibri" w:eastAsia="Times New Roman" w:hAnsi="Calibri"/>
                <w:color w:val="000000"/>
                <w:kern w:val="0"/>
                <w:sz w:val="24"/>
                <w:szCs w:val="24"/>
                <w:lang w:bidi="ne-NP"/>
                <w14:ligatures w14:val="none"/>
              </w:rPr>
              <w:t>8</w:t>
            </w:r>
          </w:p>
        </w:tc>
        <w:tc>
          <w:tcPr>
            <w:tcW w:w="2819" w:type="pct"/>
            <w:hideMark/>
          </w:tcPr>
          <w:p w14:paraId="5ED9FA46" w14:textId="77777777" w:rsidR="00574B83" w:rsidRPr="00574B83" w:rsidRDefault="00574B83" w:rsidP="001812A0">
            <w:pPr>
              <w:spacing w:after="160" w:line="259" w:lineRule="auto"/>
              <w:jc w:val="both"/>
              <w:rPr>
                <w:rFonts w:ascii="Calibri" w:eastAsia="Times New Roman" w:hAnsi="Calibri"/>
                <w:color w:val="000000"/>
                <w:kern w:val="0"/>
                <w:sz w:val="24"/>
                <w:szCs w:val="24"/>
                <w:lang w:bidi="ne-NP"/>
                <w14:ligatures w14:val="none"/>
              </w:rPr>
            </w:pPr>
            <w:r w:rsidRPr="00574B83">
              <w:rPr>
                <w:rFonts w:ascii="Calibri" w:eastAsia="Times New Roman" w:hAnsi="Calibri"/>
                <w:color w:val="000000"/>
                <w:kern w:val="0"/>
                <w:sz w:val="24"/>
                <w:szCs w:val="24"/>
                <w:lang w:bidi="ne-NP"/>
                <w14:ligatures w14:val="none"/>
              </w:rPr>
              <w:t>Electric wire</w:t>
            </w:r>
          </w:p>
        </w:tc>
        <w:tc>
          <w:tcPr>
            <w:tcW w:w="1486" w:type="pct"/>
            <w:hideMark/>
          </w:tcPr>
          <w:p w14:paraId="6B632FC9" w14:textId="1BBFF3FF" w:rsidR="00574B83" w:rsidRPr="00574B83" w:rsidRDefault="00574B83" w:rsidP="001812A0">
            <w:pPr>
              <w:spacing w:after="160" w:line="259" w:lineRule="auto"/>
              <w:jc w:val="both"/>
              <w:rPr>
                <w:rFonts w:ascii="Calibri" w:eastAsia="Times New Roman" w:hAnsi="Calibri"/>
                <w:color w:val="000000"/>
                <w:kern w:val="0"/>
                <w:sz w:val="24"/>
                <w:szCs w:val="24"/>
                <w:lang w:bidi="ne-NP"/>
                <w14:ligatures w14:val="none"/>
              </w:rPr>
            </w:pPr>
            <w:r w:rsidRPr="00574B83">
              <w:rPr>
                <w:rFonts w:ascii="Calibri" w:eastAsia="Times New Roman" w:hAnsi="Calibri"/>
                <w:color w:val="000000"/>
                <w:kern w:val="0"/>
                <w:sz w:val="24"/>
                <w:szCs w:val="24"/>
                <w:lang w:bidi="ne-NP"/>
                <w14:ligatures w14:val="none"/>
              </w:rPr>
              <w:t>159.3</w:t>
            </w:r>
          </w:p>
        </w:tc>
      </w:tr>
      <w:tr w:rsidR="00574B83" w:rsidRPr="00574B83" w14:paraId="4A6AE2F2" w14:textId="77777777" w:rsidTr="001812A0">
        <w:tc>
          <w:tcPr>
            <w:tcW w:w="695" w:type="pct"/>
            <w:hideMark/>
          </w:tcPr>
          <w:p w14:paraId="7990E19C" w14:textId="77777777" w:rsidR="00574B83" w:rsidRPr="00574B83" w:rsidRDefault="00574B83" w:rsidP="001812A0">
            <w:pPr>
              <w:spacing w:after="160" w:line="259" w:lineRule="auto"/>
              <w:jc w:val="both"/>
              <w:rPr>
                <w:rFonts w:ascii="Calibri" w:eastAsia="Times New Roman" w:hAnsi="Calibri"/>
                <w:color w:val="000000"/>
                <w:kern w:val="0"/>
                <w:sz w:val="24"/>
                <w:szCs w:val="24"/>
                <w:lang w:bidi="ne-NP"/>
                <w14:ligatures w14:val="none"/>
              </w:rPr>
            </w:pPr>
            <w:r w:rsidRPr="00574B83">
              <w:rPr>
                <w:rFonts w:ascii="Calibri" w:eastAsia="Times New Roman" w:hAnsi="Calibri"/>
                <w:color w:val="000000"/>
                <w:kern w:val="0"/>
                <w:sz w:val="24"/>
                <w:szCs w:val="24"/>
                <w:lang w:bidi="ne-NP"/>
                <w14:ligatures w14:val="none"/>
              </w:rPr>
              <w:lastRenderedPageBreak/>
              <w:t>9</w:t>
            </w:r>
          </w:p>
        </w:tc>
        <w:tc>
          <w:tcPr>
            <w:tcW w:w="2819" w:type="pct"/>
            <w:hideMark/>
          </w:tcPr>
          <w:p w14:paraId="462C1376" w14:textId="77777777" w:rsidR="00574B83" w:rsidRPr="00574B83" w:rsidRDefault="00574B83" w:rsidP="001812A0">
            <w:pPr>
              <w:spacing w:after="160" w:line="259" w:lineRule="auto"/>
              <w:jc w:val="both"/>
              <w:rPr>
                <w:rFonts w:ascii="Calibri" w:eastAsia="Times New Roman" w:hAnsi="Calibri"/>
                <w:color w:val="000000"/>
                <w:kern w:val="0"/>
                <w:sz w:val="24"/>
                <w:szCs w:val="24"/>
                <w:lang w:bidi="ne-NP"/>
                <w14:ligatures w14:val="none"/>
              </w:rPr>
            </w:pPr>
            <w:r w:rsidRPr="00574B83">
              <w:rPr>
                <w:rFonts w:ascii="Calibri" w:eastAsia="Times New Roman" w:hAnsi="Calibri"/>
                <w:color w:val="000000"/>
                <w:kern w:val="0"/>
                <w:sz w:val="24"/>
                <w:szCs w:val="24"/>
                <w:lang w:bidi="ne-NP"/>
                <w14:ligatures w14:val="none"/>
              </w:rPr>
              <w:t>Marble</w:t>
            </w:r>
          </w:p>
        </w:tc>
        <w:tc>
          <w:tcPr>
            <w:tcW w:w="1486" w:type="pct"/>
            <w:hideMark/>
          </w:tcPr>
          <w:p w14:paraId="23F35E06" w14:textId="2E002C2B" w:rsidR="00574B83" w:rsidRPr="00574B83" w:rsidRDefault="00574B83" w:rsidP="001812A0">
            <w:pPr>
              <w:spacing w:after="160" w:line="259" w:lineRule="auto"/>
              <w:jc w:val="both"/>
              <w:rPr>
                <w:rFonts w:ascii="Calibri" w:eastAsia="Times New Roman" w:hAnsi="Calibri"/>
                <w:color w:val="000000"/>
                <w:kern w:val="0"/>
                <w:sz w:val="24"/>
                <w:szCs w:val="24"/>
                <w:lang w:bidi="ne-NP"/>
                <w14:ligatures w14:val="none"/>
              </w:rPr>
            </w:pPr>
            <w:r w:rsidRPr="00574B83">
              <w:rPr>
                <w:rFonts w:ascii="Calibri" w:eastAsia="Times New Roman" w:hAnsi="Calibri"/>
                <w:color w:val="000000"/>
                <w:kern w:val="0"/>
                <w:sz w:val="24"/>
                <w:szCs w:val="24"/>
                <w:lang w:bidi="ne-NP"/>
                <w14:ligatures w14:val="none"/>
              </w:rPr>
              <w:t>158.1</w:t>
            </w:r>
          </w:p>
        </w:tc>
      </w:tr>
      <w:tr w:rsidR="00574B83" w:rsidRPr="00574B83" w14:paraId="0F83A91E" w14:textId="77777777" w:rsidTr="001812A0">
        <w:tc>
          <w:tcPr>
            <w:tcW w:w="695" w:type="pct"/>
            <w:hideMark/>
          </w:tcPr>
          <w:p w14:paraId="019144CB" w14:textId="77777777" w:rsidR="00574B83" w:rsidRPr="00574B83" w:rsidRDefault="00574B83" w:rsidP="001812A0">
            <w:pPr>
              <w:spacing w:after="160" w:line="259" w:lineRule="auto"/>
              <w:jc w:val="both"/>
              <w:rPr>
                <w:rFonts w:ascii="Calibri" w:eastAsia="Times New Roman" w:hAnsi="Calibri"/>
                <w:color w:val="000000"/>
                <w:kern w:val="0"/>
                <w:sz w:val="24"/>
                <w:szCs w:val="24"/>
                <w:lang w:bidi="ne-NP"/>
                <w14:ligatures w14:val="none"/>
              </w:rPr>
            </w:pPr>
            <w:r w:rsidRPr="00574B83">
              <w:rPr>
                <w:rFonts w:ascii="Calibri" w:eastAsia="Times New Roman" w:hAnsi="Calibri"/>
                <w:color w:val="000000"/>
                <w:kern w:val="0"/>
                <w:sz w:val="24"/>
                <w:szCs w:val="24"/>
                <w:lang w:bidi="ne-NP"/>
                <w14:ligatures w14:val="none"/>
              </w:rPr>
              <w:t>10</w:t>
            </w:r>
          </w:p>
        </w:tc>
        <w:tc>
          <w:tcPr>
            <w:tcW w:w="2819" w:type="pct"/>
            <w:hideMark/>
          </w:tcPr>
          <w:p w14:paraId="3D08E248" w14:textId="77777777" w:rsidR="00574B83" w:rsidRPr="00574B83" w:rsidRDefault="00574B83" w:rsidP="001812A0">
            <w:pPr>
              <w:spacing w:after="160" w:line="259" w:lineRule="auto"/>
              <w:jc w:val="both"/>
              <w:rPr>
                <w:rFonts w:ascii="Calibri" w:eastAsia="Times New Roman" w:hAnsi="Calibri"/>
                <w:color w:val="000000"/>
                <w:kern w:val="0"/>
                <w:sz w:val="24"/>
                <w:szCs w:val="24"/>
                <w:lang w:bidi="ne-NP"/>
                <w14:ligatures w14:val="none"/>
              </w:rPr>
            </w:pPr>
            <w:r w:rsidRPr="00574B83">
              <w:rPr>
                <w:rFonts w:ascii="Calibri" w:eastAsia="Times New Roman" w:hAnsi="Calibri"/>
                <w:color w:val="000000"/>
                <w:kern w:val="0"/>
                <w:sz w:val="24"/>
                <w:szCs w:val="24"/>
                <w:lang w:bidi="ne-NP"/>
                <w14:ligatures w14:val="none"/>
              </w:rPr>
              <w:t>Zinc/corrugated sheet</w:t>
            </w:r>
          </w:p>
        </w:tc>
        <w:tc>
          <w:tcPr>
            <w:tcW w:w="1486" w:type="pct"/>
            <w:hideMark/>
          </w:tcPr>
          <w:p w14:paraId="18DDC963" w14:textId="57AB3FBE" w:rsidR="00574B83" w:rsidRPr="00574B83" w:rsidRDefault="00574B83" w:rsidP="001812A0">
            <w:pPr>
              <w:spacing w:after="160" w:line="259" w:lineRule="auto"/>
              <w:jc w:val="both"/>
              <w:rPr>
                <w:rFonts w:ascii="Calibri" w:eastAsia="Times New Roman" w:hAnsi="Calibri"/>
                <w:color w:val="000000"/>
                <w:kern w:val="0"/>
                <w:sz w:val="24"/>
                <w:szCs w:val="24"/>
                <w:lang w:bidi="ne-NP"/>
                <w14:ligatures w14:val="none"/>
              </w:rPr>
            </w:pPr>
            <w:r w:rsidRPr="00574B83">
              <w:rPr>
                <w:rFonts w:ascii="Calibri" w:eastAsia="Times New Roman" w:hAnsi="Calibri"/>
                <w:color w:val="000000"/>
                <w:kern w:val="0"/>
                <w:sz w:val="24"/>
                <w:szCs w:val="24"/>
                <w:lang w:bidi="ne-NP"/>
                <w14:ligatures w14:val="none"/>
              </w:rPr>
              <w:t>145.6</w:t>
            </w:r>
          </w:p>
        </w:tc>
      </w:tr>
    </w:tbl>
    <w:p w14:paraId="48FBA8AF" w14:textId="75368D15" w:rsidR="00574B83" w:rsidRPr="00574B83" w:rsidRDefault="00574B83" w:rsidP="001812A0">
      <w:pPr>
        <w:jc w:val="both"/>
        <w:rPr>
          <w:rFonts w:ascii="Calibri" w:eastAsia="Times New Roman" w:hAnsi="Calibri"/>
          <w:color w:val="000000"/>
          <w:kern w:val="0"/>
          <w:sz w:val="24"/>
          <w:szCs w:val="24"/>
          <w:lang w:bidi="ne-NP"/>
          <w14:ligatures w14:val="none"/>
        </w:rPr>
      </w:pPr>
    </w:p>
    <w:p w14:paraId="798311AB" w14:textId="77777777" w:rsidR="00574B83" w:rsidRDefault="00574B83" w:rsidP="001812A0">
      <w:pPr>
        <w:jc w:val="both"/>
        <w:rPr>
          <w:rFonts w:ascii="Calibri" w:eastAsia="Times New Roman" w:hAnsi="Calibri"/>
          <w:b/>
          <w:bCs/>
          <w:color w:val="000000"/>
          <w:kern w:val="0"/>
          <w:sz w:val="24"/>
          <w:szCs w:val="24"/>
          <w:lang w:bidi="ne-NP"/>
          <w14:ligatures w14:val="none"/>
        </w:rPr>
      </w:pPr>
      <w:r w:rsidRPr="00574B83">
        <w:rPr>
          <w:rFonts w:ascii="Calibri" w:eastAsia="Times New Roman" w:hAnsi="Calibri"/>
          <w:b/>
          <w:bCs/>
          <w:color w:val="000000"/>
          <w:kern w:val="0"/>
          <w:sz w:val="24"/>
          <w:szCs w:val="24"/>
          <w:lang w:bidi="ne-NP"/>
          <w14:ligatures w14:val="none"/>
        </w:rPr>
        <w:t>6. Materials with Negative Price Growth Since Base Year</w:t>
      </w:r>
    </w:p>
    <w:p w14:paraId="344A58FE" w14:textId="1BAEC703" w:rsidR="00527636" w:rsidRPr="00D03E73" w:rsidRDefault="00527636" w:rsidP="001812A0">
      <w:pPr>
        <w:jc w:val="both"/>
        <w:rPr>
          <w:rFonts w:ascii="Calibri" w:eastAsia="Times New Roman" w:hAnsi="Calibri"/>
          <w:color w:val="000000"/>
          <w:kern w:val="0"/>
          <w:sz w:val="24"/>
          <w:szCs w:val="24"/>
          <w:lang w:bidi="ne-NP"/>
          <w14:ligatures w14:val="none"/>
        </w:rPr>
      </w:pPr>
      <w:r w:rsidRPr="00D03E73">
        <w:rPr>
          <w:rFonts w:ascii="Calibri" w:eastAsia="Times New Roman" w:hAnsi="Calibri"/>
          <w:color w:val="000000"/>
          <w:kern w:val="0"/>
          <w:sz w:val="24"/>
          <w:szCs w:val="24"/>
          <w:lang w:bidi="ne-NP"/>
          <w14:ligatures w14:val="none"/>
        </w:rPr>
        <w:t>Wood is the only material showing negative growth, with an index of 86, suggesting relatively lower prices compared to the base year.</w:t>
      </w:r>
    </w:p>
    <w:tbl>
      <w:tblPr>
        <w:tblStyle w:val="TableGrid"/>
        <w:tblW w:w="5000" w:type="pct"/>
        <w:tblLook w:val="04A0" w:firstRow="1" w:lastRow="0" w:firstColumn="1" w:lastColumn="0" w:noHBand="0" w:noVBand="1"/>
      </w:tblPr>
      <w:tblGrid>
        <w:gridCol w:w="1037"/>
        <w:gridCol w:w="5583"/>
        <w:gridCol w:w="2730"/>
      </w:tblGrid>
      <w:tr w:rsidR="00574B83" w:rsidRPr="00574B83" w14:paraId="48F7F844" w14:textId="77777777" w:rsidTr="00117D23">
        <w:tc>
          <w:tcPr>
            <w:tcW w:w="538" w:type="pct"/>
            <w:shd w:val="clear" w:color="auto" w:fill="DEEAF6" w:themeFill="accent5" w:themeFillTint="33"/>
            <w:hideMark/>
          </w:tcPr>
          <w:p w14:paraId="3449D3FE" w14:textId="77777777" w:rsidR="00574B83" w:rsidRPr="00574B83" w:rsidRDefault="00574B83" w:rsidP="00117D23">
            <w:pPr>
              <w:spacing w:after="160" w:line="259" w:lineRule="auto"/>
              <w:jc w:val="center"/>
              <w:rPr>
                <w:rFonts w:ascii="Calibri" w:eastAsia="Times New Roman" w:hAnsi="Calibri"/>
                <w:b/>
                <w:bCs/>
                <w:color w:val="000000"/>
                <w:kern w:val="0"/>
                <w:sz w:val="24"/>
                <w:szCs w:val="24"/>
                <w:lang w:bidi="ne-NP"/>
                <w14:ligatures w14:val="none"/>
              </w:rPr>
            </w:pPr>
            <w:r w:rsidRPr="00574B83">
              <w:rPr>
                <w:rFonts w:ascii="Calibri" w:eastAsia="Times New Roman" w:hAnsi="Calibri"/>
                <w:b/>
                <w:bCs/>
                <w:color w:val="000000"/>
                <w:kern w:val="0"/>
                <w:sz w:val="24"/>
                <w:szCs w:val="24"/>
                <w:lang w:bidi="ne-NP"/>
                <w14:ligatures w14:val="none"/>
              </w:rPr>
              <w:t>S.N.</w:t>
            </w:r>
          </w:p>
        </w:tc>
        <w:tc>
          <w:tcPr>
            <w:tcW w:w="2896" w:type="pct"/>
            <w:shd w:val="clear" w:color="auto" w:fill="DEEAF6" w:themeFill="accent5" w:themeFillTint="33"/>
            <w:hideMark/>
          </w:tcPr>
          <w:p w14:paraId="0F568F51" w14:textId="77777777" w:rsidR="00574B83" w:rsidRPr="00574B83" w:rsidRDefault="00574B83" w:rsidP="00117D23">
            <w:pPr>
              <w:spacing w:after="160" w:line="259" w:lineRule="auto"/>
              <w:jc w:val="center"/>
              <w:rPr>
                <w:rFonts w:ascii="Calibri" w:eastAsia="Times New Roman" w:hAnsi="Calibri"/>
                <w:b/>
                <w:bCs/>
                <w:color w:val="000000"/>
                <w:kern w:val="0"/>
                <w:sz w:val="24"/>
                <w:szCs w:val="24"/>
                <w:lang w:bidi="ne-NP"/>
                <w14:ligatures w14:val="none"/>
              </w:rPr>
            </w:pPr>
            <w:r w:rsidRPr="00574B83">
              <w:rPr>
                <w:rFonts w:ascii="Calibri" w:eastAsia="Times New Roman" w:hAnsi="Calibri"/>
                <w:b/>
                <w:bCs/>
                <w:color w:val="000000"/>
                <w:kern w:val="0"/>
                <w:sz w:val="24"/>
                <w:szCs w:val="24"/>
                <w:lang w:bidi="ne-NP"/>
                <w14:ligatures w14:val="none"/>
              </w:rPr>
              <w:t>Construction Materials</w:t>
            </w:r>
          </w:p>
        </w:tc>
        <w:tc>
          <w:tcPr>
            <w:tcW w:w="1416" w:type="pct"/>
            <w:shd w:val="clear" w:color="auto" w:fill="DEEAF6" w:themeFill="accent5" w:themeFillTint="33"/>
            <w:hideMark/>
          </w:tcPr>
          <w:p w14:paraId="06C4DA51" w14:textId="77777777" w:rsidR="00574B83" w:rsidRPr="00574B83" w:rsidRDefault="00574B83" w:rsidP="00117D23">
            <w:pPr>
              <w:spacing w:after="160" w:line="259" w:lineRule="auto"/>
              <w:jc w:val="center"/>
              <w:rPr>
                <w:rFonts w:ascii="Calibri" w:eastAsia="Times New Roman" w:hAnsi="Calibri"/>
                <w:b/>
                <w:bCs/>
                <w:color w:val="000000"/>
                <w:kern w:val="0"/>
                <w:sz w:val="24"/>
                <w:szCs w:val="24"/>
                <w:lang w:bidi="ne-NP"/>
                <w14:ligatures w14:val="none"/>
              </w:rPr>
            </w:pPr>
            <w:r w:rsidRPr="00574B83">
              <w:rPr>
                <w:rFonts w:ascii="Calibri" w:eastAsia="Times New Roman" w:hAnsi="Calibri"/>
                <w:b/>
                <w:bCs/>
                <w:color w:val="000000"/>
                <w:kern w:val="0"/>
                <w:sz w:val="24"/>
                <w:szCs w:val="24"/>
                <w:lang w:bidi="ne-NP"/>
                <w14:ligatures w14:val="none"/>
              </w:rPr>
              <w:t>Price Index</w:t>
            </w:r>
          </w:p>
        </w:tc>
      </w:tr>
      <w:tr w:rsidR="00574B83" w:rsidRPr="00574B83" w14:paraId="7750A03D" w14:textId="77777777" w:rsidTr="001812A0">
        <w:tc>
          <w:tcPr>
            <w:tcW w:w="538" w:type="pct"/>
            <w:hideMark/>
          </w:tcPr>
          <w:p w14:paraId="6BFC344C" w14:textId="77777777" w:rsidR="00574B83" w:rsidRPr="00574B83" w:rsidRDefault="00574B83" w:rsidP="001812A0">
            <w:pPr>
              <w:spacing w:after="160" w:line="259" w:lineRule="auto"/>
              <w:jc w:val="both"/>
              <w:rPr>
                <w:rFonts w:ascii="Calibri" w:eastAsia="Times New Roman" w:hAnsi="Calibri"/>
                <w:color w:val="000000"/>
                <w:kern w:val="0"/>
                <w:sz w:val="24"/>
                <w:szCs w:val="24"/>
                <w:lang w:bidi="ne-NP"/>
                <w14:ligatures w14:val="none"/>
              </w:rPr>
            </w:pPr>
            <w:r w:rsidRPr="00574B83">
              <w:rPr>
                <w:rFonts w:ascii="Calibri" w:eastAsia="Times New Roman" w:hAnsi="Calibri"/>
                <w:color w:val="000000"/>
                <w:kern w:val="0"/>
                <w:sz w:val="24"/>
                <w:szCs w:val="24"/>
                <w:lang w:bidi="ne-NP"/>
                <w14:ligatures w14:val="none"/>
              </w:rPr>
              <w:t>1</w:t>
            </w:r>
          </w:p>
        </w:tc>
        <w:tc>
          <w:tcPr>
            <w:tcW w:w="2896" w:type="pct"/>
            <w:hideMark/>
          </w:tcPr>
          <w:p w14:paraId="456F4185" w14:textId="77777777" w:rsidR="00574B83" w:rsidRPr="00574B83" w:rsidRDefault="00574B83" w:rsidP="001812A0">
            <w:pPr>
              <w:spacing w:after="160" w:line="259" w:lineRule="auto"/>
              <w:jc w:val="both"/>
              <w:rPr>
                <w:rFonts w:ascii="Calibri" w:eastAsia="Times New Roman" w:hAnsi="Calibri"/>
                <w:color w:val="000000"/>
                <w:kern w:val="0"/>
                <w:sz w:val="24"/>
                <w:szCs w:val="24"/>
                <w:lang w:bidi="ne-NP"/>
                <w14:ligatures w14:val="none"/>
              </w:rPr>
            </w:pPr>
            <w:r w:rsidRPr="00574B83">
              <w:rPr>
                <w:rFonts w:ascii="Calibri" w:eastAsia="Times New Roman" w:hAnsi="Calibri"/>
                <w:color w:val="000000"/>
                <w:kern w:val="0"/>
                <w:sz w:val="24"/>
                <w:szCs w:val="24"/>
                <w:lang w:bidi="ne-NP"/>
                <w14:ligatures w14:val="none"/>
              </w:rPr>
              <w:t>Wood</w:t>
            </w:r>
          </w:p>
        </w:tc>
        <w:tc>
          <w:tcPr>
            <w:tcW w:w="1416" w:type="pct"/>
            <w:hideMark/>
          </w:tcPr>
          <w:p w14:paraId="5831532C" w14:textId="77777777" w:rsidR="00574B83" w:rsidRPr="00574B83" w:rsidRDefault="00574B83" w:rsidP="001812A0">
            <w:pPr>
              <w:spacing w:after="160" w:line="259" w:lineRule="auto"/>
              <w:jc w:val="both"/>
              <w:rPr>
                <w:rFonts w:ascii="Calibri" w:eastAsia="Times New Roman" w:hAnsi="Calibri"/>
                <w:color w:val="000000"/>
                <w:kern w:val="0"/>
                <w:sz w:val="24"/>
                <w:szCs w:val="24"/>
                <w:lang w:bidi="ne-NP"/>
                <w14:ligatures w14:val="none"/>
              </w:rPr>
            </w:pPr>
            <w:r w:rsidRPr="00574B83">
              <w:rPr>
                <w:rFonts w:ascii="Calibri" w:eastAsia="Times New Roman" w:hAnsi="Calibri"/>
                <w:color w:val="000000"/>
                <w:kern w:val="0"/>
                <w:sz w:val="24"/>
                <w:szCs w:val="24"/>
                <w:lang w:bidi="ne-NP"/>
                <w14:ligatures w14:val="none"/>
              </w:rPr>
              <w:t>86</w:t>
            </w:r>
          </w:p>
        </w:tc>
      </w:tr>
    </w:tbl>
    <w:p w14:paraId="6B203B85" w14:textId="48CF5DEF" w:rsidR="00574B83" w:rsidRPr="00574B83" w:rsidRDefault="00574B83" w:rsidP="001812A0">
      <w:pPr>
        <w:jc w:val="both"/>
        <w:rPr>
          <w:rFonts w:ascii="Calibri" w:eastAsia="Times New Roman" w:hAnsi="Calibri"/>
          <w:color w:val="000000"/>
          <w:kern w:val="0"/>
          <w:sz w:val="24"/>
          <w:szCs w:val="24"/>
          <w:lang w:bidi="ne-NP"/>
          <w14:ligatures w14:val="none"/>
        </w:rPr>
      </w:pPr>
    </w:p>
    <w:p w14:paraId="4E9844CB" w14:textId="7B7CDDED" w:rsidR="00574B83" w:rsidRDefault="00574B83" w:rsidP="001812A0">
      <w:pPr>
        <w:jc w:val="both"/>
        <w:rPr>
          <w:rFonts w:ascii="Calibri" w:eastAsia="Times New Roman" w:hAnsi="Calibri"/>
          <w:b/>
          <w:bCs/>
          <w:color w:val="000000"/>
          <w:kern w:val="0"/>
          <w:sz w:val="24"/>
          <w:szCs w:val="24"/>
          <w:lang w:bidi="ne-NP"/>
          <w14:ligatures w14:val="none"/>
        </w:rPr>
      </w:pPr>
      <w:r w:rsidRPr="00574B83">
        <w:rPr>
          <w:rFonts w:ascii="Calibri" w:eastAsia="Times New Roman" w:hAnsi="Calibri"/>
          <w:b/>
          <w:bCs/>
          <w:color w:val="000000"/>
          <w:kern w:val="0"/>
          <w:sz w:val="24"/>
          <w:szCs w:val="24"/>
          <w:lang w:bidi="ne-NP"/>
          <w14:ligatures w14:val="none"/>
        </w:rPr>
        <w:t>7. Construction Labor Wage Index (Since Base Year FY 2071/72 to Q2 FY 2082/83)</w:t>
      </w:r>
    </w:p>
    <w:p w14:paraId="40DF82DC" w14:textId="0529E7FD" w:rsidR="00527636" w:rsidRPr="00D03E73" w:rsidRDefault="00527636" w:rsidP="001812A0">
      <w:pPr>
        <w:jc w:val="both"/>
        <w:rPr>
          <w:rFonts w:ascii="Calibri" w:eastAsia="Times New Roman" w:hAnsi="Calibri"/>
          <w:color w:val="000000"/>
          <w:kern w:val="0"/>
          <w:sz w:val="24"/>
          <w:szCs w:val="24"/>
          <w:lang w:bidi="ne-NP"/>
          <w14:ligatures w14:val="none"/>
        </w:rPr>
      </w:pPr>
      <w:r w:rsidRPr="00D03E73">
        <w:rPr>
          <w:rFonts w:ascii="Calibri" w:eastAsia="Times New Roman" w:hAnsi="Calibri"/>
          <w:color w:val="000000"/>
          <w:kern w:val="0"/>
          <w:sz w:val="24"/>
          <w:szCs w:val="24"/>
          <w:lang w:bidi="ne-NP"/>
          <w14:ligatures w14:val="none"/>
        </w:rPr>
        <w:t>Construction labor wages have consistently increased. Painters (229.0) and electricians (226.8) recorded the highest growth, followed by masons, carpenters, supervisors, and laborers, all above index 200. Technical roles like sub-engineers (173.9) and engineers (166.1) also show steady increases, highlighting rising labor costs.</w:t>
      </w:r>
    </w:p>
    <w:tbl>
      <w:tblPr>
        <w:tblStyle w:val="TableGrid"/>
        <w:tblW w:w="5000" w:type="pct"/>
        <w:tblLook w:val="04A0" w:firstRow="1" w:lastRow="0" w:firstColumn="1" w:lastColumn="0" w:noHBand="0" w:noVBand="1"/>
      </w:tblPr>
      <w:tblGrid>
        <w:gridCol w:w="1397"/>
        <w:gridCol w:w="4791"/>
        <w:gridCol w:w="3162"/>
      </w:tblGrid>
      <w:tr w:rsidR="00574B83" w:rsidRPr="00574B83" w14:paraId="7B6FDBB6" w14:textId="77777777" w:rsidTr="00117D23">
        <w:tc>
          <w:tcPr>
            <w:tcW w:w="747" w:type="pct"/>
            <w:shd w:val="clear" w:color="auto" w:fill="DEEAF6" w:themeFill="accent5" w:themeFillTint="33"/>
            <w:hideMark/>
          </w:tcPr>
          <w:p w14:paraId="4293F3BE" w14:textId="77777777" w:rsidR="00574B83" w:rsidRPr="00574B83" w:rsidRDefault="00574B83" w:rsidP="00117D23">
            <w:pPr>
              <w:spacing w:after="160" w:line="259" w:lineRule="auto"/>
              <w:jc w:val="center"/>
              <w:rPr>
                <w:rFonts w:ascii="Calibri" w:eastAsia="Times New Roman" w:hAnsi="Calibri"/>
                <w:b/>
                <w:bCs/>
                <w:color w:val="000000"/>
                <w:kern w:val="0"/>
                <w:sz w:val="24"/>
                <w:szCs w:val="24"/>
                <w:lang w:bidi="ne-NP"/>
                <w14:ligatures w14:val="none"/>
              </w:rPr>
            </w:pPr>
            <w:r w:rsidRPr="00574B83">
              <w:rPr>
                <w:rFonts w:ascii="Calibri" w:eastAsia="Times New Roman" w:hAnsi="Calibri"/>
                <w:b/>
                <w:bCs/>
                <w:color w:val="000000"/>
                <w:kern w:val="0"/>
                <w:sz w:val="24"/>
                <w:szCs w:val="24"/>
                <w:lang w:bidi="ne-NP"/>
                <w14:ligatures w14:val="none"/>
              </w:rPr>
              <w:t>S.N.</w:t>
            </w:r>
          </w:p>
        </w:tc>
        <w:tc>
          <w:tcPr>
            <w:tcW w:w="2562" w:type="pct"/>
            <w:shd w:val="clear" w:color="auto" w:fill="DEEAF6" w:themeFill="accent5" w:themeFillTint="33"/>
            <w:hideMark/>
          </w:tcPr>
          <w:p w14:paraId="40FA8B40" w14:textId="77777777" w:rsidR="00574B83" w:rsidRPr="00574B83" w:rsidRDefault="00574B83" w:rsidP="00117D23">
            <w:pPr>
              <w:spacing w:after="160" w:line="259" w:lineRule="auto"/>
              <w:jc w:val="center"/>
              <w:rPr>
                <w:rFonts w:ascii="Calibri" w:eastAsia="Times New Roman" w:hAnsi="Calibri"/>
                <w:b/>
                <w:bCs/>
                <w:color w:val="000000"/>
                <w:kern w:val="0"/>
                <w:sz w:val="24"/>
                <w:szCs w:val="24"/>
                <w:lang w:bidi="ne-NP"/>
                <w14:ligatures w14:val="none"/>
              </w:rPr>
            </w:pPr>
            <w:r w:rsidRPr="00574B83">
              <w:rPr>
                <w:rFonts w:ascii="Calibri" w:eastAsia="Times New Roman" w:hAnsi="Calibri"/>
                <w:b/>
                <w:bCs/>
                <w:color w:val="000000"/>
                <w:kern w:val="0"/>
                <w:sz w:val="24"/>
                <w:szCs w:val="24"/>
                <w:lang w:bidi="ne-NP"/>
                <w14:ligatures w14:val="none"/>
              </w:rPr>
              <w:t>Type of Manpower</w:t>
            </w:r>
          </w:p>
        </w:tc>
        <w:tc>
          <w:tcPr>
            <w:tcW w:w="1691" w:type="pct"/>
            <w:shd w:val="clear" w:color="auto" w:fill="DEEAF6" w:themeFill="accent5" w:themeFillTint="33"/>
            <w:hideMark/>
          </w:tcPr>
          <w:p w14:paraId="66BCFE2C" w14:textId="77777777" w:rsidR="00574B83" w:rsidRPr="00574B83" w:rsidRDefault="00574B83" w:rsidP="00117D23">
            <w:pPr>
              <w:spacing w:after="160" w:line="259" w:lineRule="auto"/>
              <w:jc w:val="center"/>
              <w:rPr>
                <w:rFonts w:ascii="Calibri" w:eastAsia="Times New Roman" w:hAnsi="Calibri"/>
                <w:b/>
                <w:bCs/>
                <w:color w:val="000000"/>
                <w:kern w:val="0"/>
                <w:sz w:val="24"/>
                <w:szCs w:val="24"/>
                <w:lang w:bidi="ne-NP"/>
                <w14:ligatures w14:val="none"/>
              </w:rPr>
            </w:pPr>
            <w:r w:rsidRPr="00574B83">
              <w:rPr>
                <w:rFonts w:ascii="Calibri" w:eastAsia="Times New Roman" w:hAnsi="Calibri"/>
                <w:b/>
                <w:bCs/>
                <w:color w:val="000000"/>
                <w:kern w:val="0"/>
                <w:sz w:val="24"/>
                <w:szCs w:val="24"/>
                <w:lang w:bidi="ne-NP"/>
                <w14:ligatures w14:val="none"/>
              </w:rPr>
              <w:t>Wage Index</w:t>
            </w:r>
          </w:p>
        </w:tc>
      </w:tr>
      <w:tr w:rsidR="00574B83" w:rsidRPr="00574B83" w14:paraId="5A98AA99" w14:textId="77777777" w:rsidTr="001812A0">
        <w:tc>
          <w:tcPr>
            <w:tcW w:w="747" w:type="pct"/>
            <w:hideMark/>
          </w:tcPr>
          <w:p w14:paraId="0D4CCD61" w14:textId="77777777" w:rsidR="00574B83" w:rsidRPr="00574B83" w:rsidRDefault="00574B83" w:rsidP="001812A0">
            <w:pPr>
              <w:spacing w:after="160" w:line="259" w:lineRule="auto"/>
              <w:jc w:val="both"/>
              <w:rPr>
                <w:rFonts w:ascii="Calibri" w:eastAsia="Times New Roman" w:hAnsi="Calibri"/>
                <w:color w:val="000000"/>
                <w:kern w:val="0"/>
                <w:sz w:val="24"/>
                <w:szCs w:val="24"/>
                <w:lang w:bidi="ne-NP"/>
                <w14:ligatures w14:val="none"/>
              </w:rPr>
            </w:pPr>
            <w:r w:rsidRPr="00574B83">
              <w:rPr>
                <w:rFonts w:ascii="Calibri" w:eastAsia="Times New Roman" w:hAnsi="Calibri"/>
                <w:color w:val="000000"/>
                <w:kern w:val="0"/>
                <w:sz w:val="24"/>
                <w:szCs w:val="24"/>
                <w:lang w:bidi="ne-NP"/>
                <w14:ligatures w14:val="none"/>
              </w:rPr>
              <w:t>1</w:t>
            </w:r>
          </w:p>
        </w:tc>
        <w:tc>
          <w:tcPr>
            <w:tcW w:w="2562" w:type="pct"/>
            <w:hideMark/>
          </w:tcPr>
          <w:p w14:paraId="566FCA3E" w14:textId="77777777" w:rsidR="00574B83" w:rsidRPr="00574B83" w:rsidRDefault="00574B83" w:rsidP="001812A0">
            <w:pPr>
              <w:spacing w:after="160" w:line="259" w:lineRule="auto"/>
              <w:jc w:val="both"/>
              <w:rPr>
                <w:rFonts w:ascii="Calibri" w:eastAsia="Times New Roman" w:hAnsi="Calibri"/>
                <w:color w:val="000000"/>
                <w:kern w:val="0"/>
                <w:sz w:val="24"/>
                <w:szCs w:val="24"/>
                <w:lang w:bidi="ne-NP"/>
                <w14:ligatures w14:val="none"/>
              </w:rPr>
            </w:pPr>
            <w:r w:rsidRPr="00574B83">
              <w:rPr>
                <w:rFonts w:ascii="Calibri" w:eastAsia="Times New Roman" w:hAnsi="Calibri"/>
                <w:color w:val="000000"/>
                <w:kern w:val="0"/>
                <w:sz w:val="24"/>
                <w:szCs w:val="24"/>
                <w:lang w:bidi="ne-NP"/>
                <w14:ligatures w14:val="none"/>
              </w:rPr>
              <w:t>Painter</w:t>
            </w:r>
          </w:p>
        </w:tc>
        <w:tc>
          <w:tcPr>
            <w:tcW w:w="1691" w:type="pct"/>
            <w:hideMark/>
          </w:tcPr>
          <w:p w14:paraId="19AE9BB8" w14:textId="5FB938DC" w:rsidR="00574B83" w:rsidRPr="00574B83" w:rsidRDefault="00574B83" w:rsidP="001812A0">
            <w:pPr>
              <w:spacing w:after="160" w:line="259" w:lineRule="auto"/>
              <w:jc w:val="both"/>
              <w:rPr>
                <w:rFonts w:ascii="Calibri" w:eastAsia="Times New Roman" w:hAnsi="Calibri"/>
                <w:color w:val="000000"/>
                <w:kern w:val="0"/>
                <w:sz w:val="24"/>
                <w:szCs w:val="24"/>
                <w:lang w:bidi="ne-NP"/>
                <w14:ligatures w14:val="none"/>
              </w:rPr>
            </w:pPr>
            <w:r w:rsidRPr="00574B83">
              <w:rPr>
                <w:rFonts w:ascii="Calibri" w:eastAsia="Times New Roman" w:hAnsi="Calibri"/>
                <w:color w:val="000000"/>
                <w:kern w:val="0"/>
                <w:sz w:val="24"/>
                <w:szCs w:val="24"/>
                <w:lang w:bidi="ne-NP"/>
                <w14:ligatures w14:val="none"/>
              </w:rPr>
              <w:t>229.0</w:t>
            </w:r>
          </w:p>
        </w:tc>
      </w:tr>
      <w:tr w:rsidR="00574B83" w:rsidRPr="00574B83" w14:paraId="58A92170" w14:textId="77777777" w:rsidTr="001812A0">
        <w:tc>
          <w:tcPr>
            <w:tcW w:w="747" w:type="pct"/>
            <w:hideMark/>
          </w:tcPr>
          <w:p w14:paraId="2DD597BC" w14:textId="77777777" w:rsidR="00574B83" w:rsidRPr="00574B83" w:rsidRDefault="00574B83" w:rsidP="001812A0">
            <w:pPr>
              <w:spacing w:after="160" w:line="259" w:lineRule="auto"/>
              <w:jc w:val="both"/>
              <w:rPr>
                <w:rFonts w:ascii="Calibri" w:eastAsia="Times New Roman" w:hAnsi="Calibri"/>
                <w:color w:val="000000"/>
                <w:kern w:val="0"/>
                <w:sz w:val="24"/>
                <w:szCs w:val="24"/>
                <w:lang w:bidi="ne-NP"/>
                <w14:ligatures w14:val="none"/>
              </w:rPr>
            </w:pPr>
            <w:r w:rsidRPr="00574B83">
              <w:rPr>
                <w:rFonts w:ascii="Calibri" w:eastAsia="Times New Roman" w:hAnsi="Calibri"/>
                <w:color w:val="000000"/>
                <w:kern w:val="0"/>
                <w:sz w:val="24"/>
                <w:szCs w:val="24"/>
                <w:lang w:bidi="ne-NP"/>
                <w14:ligatures w14:val="none"/>
              </w:rPr>
              <w:t>2</w:t>
            </w:r>
          </w:p>
        </w:tc>
        <w:tc>
          <w:tcPr>
            <w:tcW w:w="2562" w:type="pct"/>
            <w:hideMark/>
          </w:tcPr>
          <w:p w14:paraId="762ACD34" w14:textId="77777777" w:rsidR="00574B83" w:rsidRPr="00574B83" w:rsidRDefault="00574B83" w:rsidP="001812A0">
            <w:pPr>
              <w:spacing w:after="160" w:line="259" w:lineRule="auto"/>
              <w:jc w:val="both"/>
              <w:rPr>
                <w:rFonts w:ascii="Calibri" w:eastAsia="Times New Roman" w:hAnsi="Calibri"/>
                <w:color w:val="000000"/>
                <w:kern w:val="0"/>
                <w:sz w:val="24"/>
                <w:szCs w:val="24"/>
                <w:lang w:bidi="ne-NP"/>
                <w14:ligatures w14:val="none"/>
              </w:rPr>
            </w:pPr>
            <w:r w:rsidRPr="00574B83">
              <w:rPr>
                <w:rFonts w:ascii="Calibri" w:eastAsia="Times New Roman" w:hAnsi="Calibri"/>
                <w:color w:val="000000"/>
                <w:kern w:val="0"/>
                <w:sz w:val="24"/>
                <w:szCs w:val="24"/>
                <w:lang w:bidi="ne-NP"/>
                <w14:ligatures w14:val="none"/>
              </w:rPr>
              <w:t>Electrician</w:t>
            </w:r>
          </w:p>
        </w:tc>
        <w:tc>
          <w:tcPr>
            <w:tcW w:w="1691" w:type="pct"/>
            <w:hideMark/>
          </w:tcPr>
          <w:p w14:paraId="630F2FC9" w14:textId="5FC72BC8" w:rsidR="00574B83" w:rsidRPr="00574B83" w:rsidRDefault="00574B83" w:rsidP="001812A0">
            <w:pPr>
              <w:spacing w:after="160" w:line="259" w:lineRule="auto"/>
              <w:jc w:val="both"/>
              <w:rPr>
                <w:rFonts w:ascii="Calibri" w:eastAsia="Times New Roman" w:hAnsi="Calibri"/>
                <w:color w:val="000000"/>
                <w:kern w:val="0"/>
                <w:sz w:val="24"/>
                <w:szCs w:val="24"/>
                <w:lang w:bidi="ne-NP"/>
                <w14:ligatures w14:val="none"/>
              </w:rPr>
            </w:pPr>
            <w:r w:rsidRPr="00574B83">
              <w:rPr>
                <w:rFonts w:ascii="Calibri" w:eastAsia="Times New Roman" w:hAnsi="Calibri"/>
                <w:color w:val="000000"/>
                <w:kern w:val="0"/>
                <w:sz w:val="24"/>
                <w:szCs w:val="24"/>
                <w:lang w:bidi="ne-NP"/>
                <w14:ligatures w14:val="none"/>
              </w:rPr>
              <w:t>226.8</w:t>
            </w:r>
          </w:p>
        </w:tc>
      </w:tr>
      <w:tr w:rsidR="00574B83" w:rsidRPr="00574B83" w14:paraId="0491AB87" w14:textId="77777777" w:rsidTr="001812A0">
        <w:tc>
          <w:tcPr>
            <w:tcW w:w="747" w:type="pct"/>
            <w:hideMark/>
          </w:tcPr>
          <w:p w14:paraId="6B74A358" w14:textId="77777777" w:rsidR="00574B83" w:rsidRPr="00574B83" w:rsidRDefault="00574B83" w:rsidP="001812A0">
            <w:pPr>
              <w:spacing w:after="160" w:line="259" w:lineRule="auto"/>
              <w:jc w:val="both"/>
              <w:rPr>
                <w:rFonts w:ascii="Calibri" w:eastAsia="Times New Roman" w:hAnsi="Calibri"/>
                <w:color w:val="000000"/>
                <w:kern w:val="0"/>
                <w:sz w:val="24"/>
                <w:szCs w:val="24"/>
                <w:lang w:bidi="ne-NP"/>
                <w14:ligatures w14:val="none"/>
              </w:rPr>
            </w:pPr>
            <w:r w:rsidRPr="00574B83">
              <w:rPr>
                <w:rFonts w:ascii="Calibri" w:eastAsia="Times New Roman" w:hAnsi="Calibri"/>
                <w:color w:val="000000"/>
                <w:kern w:val="0"/>
                <w:sz w:val="24"/>
                <w:szCs w:val="24"/>
                <w:lang w:bidi="ne-NP"/>
                <w14:ligatures w14:val="none"/>
              </w:rPr>
              <w:t>3</w:t>
            </w:r>
          </w:p>
        </w:tc>
        <w:tc>
          <w:tcPr>
            <w:tcW w:w="2562" w:type="pct"/>
            <w:hideMark/>
          </w:tcPr>
          <w:p w14:paraId="74AB691E" w14:textId="77777777" w:rsidR="00574B83" w:rsidRPr="00574B83" w:rsidRDefault="00574B83" w:rsidP="001812A0">
            <w:pPr>
              <w:spacing w:after="160" w:line="259" w:lineRule="auto"/>
              <w:jc w:val="both"/>
              <w:rPr>
                <w:rFonts w:ascii="Calibri" w:eastAsia="Times New Roman" w:hAnsi="Calibri"/>
                <w:color w:val="000000"/>
                <w:kern w:val="0"/>
                <w:sz w:val="24"/>
                <w:szCs w:val="24"/>
                <w:lang w:bidi="ne-NP"/>
                <w14:ligatures w14:val="none"/>
              </w:rPr>
            </w:pPr>
            <w:r w:rsidRPr="00574B83">
              <w:rPr>
                <w:rFonts w:ascii="Calibri" w:eastAsia="Times New Roman" w:hAnsi="Calibri"/>
                <w:color w:val="000000"/>
                <w:kern w:val="0"/>
                <w:sz w:val="24"/>
                <w:szCs w:val="24"/>
                <w:lang w:bidi="ne-NP"/>
                <w14:ligatures w14:val="none"/>
              </w:rPr>
              <w:t>Mason</w:t>
            </w:r>
          </w:p>
        </w:tc>
        <w:tc>
          <w:tcPr>
            <w:tcW w:w="1691" w:type="pct"/>
            <w:hideMark/>
          </w:tcPr>
          <w:p w14:paraId="6EEC915E" w14:textId="76E78C04" w:rsidR="00574B83" w:rsidRPr="00574B83" w:rsidRDefault="00574B83" w:rsidP="001812A0">
            <w:pPr>
              <w:spacing w:after="160" w:line="259" w:lineRule="auto"/>
              <w:jc w:val="both"/>
              <w:rPr>
                <w:rFonts w:ascii="Calibri" w:eastAsia="Times New Roman" w:hAnsi="Calibri"/>
                <w:color w:val="000000"/>
                <w:kern w:val="0"/>
                <w:sz w:val="24"/>
                <w:szCs w:val="24"/>
                <w:lang w:bidi="ne-NP"/>
                <w14:ligatures w14:val="none"/>
              </w:rPr>
            </w:pPr>
            <w:r w:rsidRPr="00574B83">
              <w:rPr>
                <w:rFonts w:ascii="Calibri" w:eastAsia="Times New Roman" w:hAnsi="Calibri"/>
                <w:color w:val="000000"/>
                <w:kern w:val="0"/>
                <w:sz w:val="24"/>
                <w:szCs w:val="24"/>
                <w:lang w:bidi="ne-NP"/>
                <w14:ligatures w14:val="none"/>
              </w:rPr>
              <w:t>204.9</w:t>
            </w:r>
          </w:p>
        </w:tc>
      </w:tr>
      <w:tr w:rsidR="00574B83" w:rsidRPr="00574B83" w14:paraId="50AECA09" w14:textId="77777777" w:rsidTr="001812A0">
        <w:tc>
          <w:tcPr>
            <w:tcW w:w="747" w:type="pct"/>
            <w:hideMark/>
          </w:tcPr>
          <w:p w14:paraId="636E0E91" w14:textId="77777777" w:rsidR="00574B83" w:rsidRPr="00574B83" w:rsidRDefault="00574B83" w:rsidP="001812A0">
            <w:pPr>
              <w:spacing w:after="160" w:line="259" w:lineRule="auto"/>
              <w:jc w:val="both"/>
              <w:rPr>
                <w:rFonts w:ascii="Calibri" w:eastAsia="Times New Roman" w:hAnsi="Calibri"/>
                <w:color w:val="000000"/>
                <w:kern w:val="0"/>
                <w:sz w:val="24"/>
                <w:szCs w:val="24"/>
                <w:lang w:bidi="ne-NP"/>
                <w14:ligatures w14:val="none"/>
              </w:rPr>
            </w:pPr>
            <w:r w:rsidRPr="00574B83">
              <w:rPr>
                <w:rFonts w:ascii="Calibri" w:eastAsia="Times New Roman" w:hAnsi="Calibri"/>
                <w:color w:val="000000"/>
                <w:kern w:val="0"/>
                <w:sz w:val="24"/>
                <w:szCs w:val="24"/>
                <w:lang w:bidi="ne-NP"/>
                <w14:ligatures w14:val="none"/>
              </w:rPr>
              <w:t>4</w:t>
            </w:r>
          </w:p>
        </w:tc>
        <w:tc>
          <w:tcPr>
            <w:tcW w:w="2562" w:type="pct"/>
            <w:hideMark/>
          </w:tcPr>
          <w:p w14:paraId="1031B72E" w14:textId="77777777" w:rsidR="00574B83" w:rsidRPr="00574B83" w:rsidRDefault="00574B83" w:rsidP="001812A0">
            <w:pPr>
              <w:spacing w:after="160" w:line="259" w:lineRule="auto"/>
              <w:jc w:val="both"/>
              <w:rPr>
                <w:rFonts w:ascii="Calibri" w:eastAsia="Times New Roman" w:hAnsi="Calibri"/>
                <w:color w:val="000000"/>
                <w:kern w:val="0"/>
                <w:sz w:val="24"/>
                <w:szCs w:val="24"/>
                <w:lang w:bidi="ne-NP"/>
                <w14:ligatures w14:val="none"/>
              </w:rPr>
            </w:pPr>
            <w:r w:rsidRPr="00574B83">
              <w:rPr>
                <w:rFonts w:ascii="Calibri" w:eastAsia="Times New Roman" w:hAnsi="Calibri"/>
                <w:color w:val="000000"/>
                <w:kern w:val="0"/>
                <w:sz w:val="24"/>
                <w:szCs w:val="24"/>
                <w:lang w:bidi="ne-NP"/>
                <w14:ligatures w14:val="none"/>
              </w:rPr>
              <w:t>Carpenter</w:t>
            </w:r>
          </w:p>
        </w:tc>
        <w:tc>
          <w:tcPr>
            <w:tcW w:w="1691" w:type="pct"/>
            <w:hideMark/>
          </w:tcPr>
          <w:p w14:paraId="5E4D25C4" w14:textId="2BF37907" w:rsidR="00574B83" w:rsidRPr="00574B83" w:rsidRDefault="00574B83" w:rsidP="001812A0">
            <w:pPr>
              <w:spacing w:after="160" w:line="259" w:lineRule="auto"/>
              <w:jc w:val="both"/>
              <w:rPr>
                <w:rFonts w:ascii="Calibri" w:eastAsia="Times New Roman" w:hAnsi="Calibri"/>
                <w:color w:val="000000"/>
                <w:kern w:val="0"/>
                <w:sz w:val="24"/>
                <w:szCs w:val="24"/>
                <w:lang w:bidi="ne-NP"/>
                <w14:ligatures w14:val="none"/>
              </w:rPr>
            </w:pPr>
            <w:r w:rsidRPr="00574B83">
              <w:rPr>
                <w:rFonts w:ascii="Calibri" w:eastAsia="Times New Roman" w:hAnsi="Calibri"/>
                <w:color w:val="000000"/>
                <w:kern w:val="0"/>
                <w:sz w:val="24"/>
                <w:szCs w:val="24"/>
                <w:lang w:bidi="ne-NP"/>
                <w14:ligatures w14:val="none"/>
              </w:rPr>
              <w:t>204.5</w:t>
            </w:r>
          </w:p>
        </w:tc>
      </w:tr>
      <w:tr w:rsidR="00574B83" w:rsidRPr="00574B83" w14:paraId="227EC93E" w14:textId="77777777" w:rsidTr="001812A0">
        <w:tc>
          <w:tcPr>
            <w:tcW w:w="747" w:type="pct"/>
            <w:hideMark/>
          </w:tcPr>
          <w:p w14:paraId="5C89A272" w14:textId="77777777" w:rsidR="00574B83" w:rsidRPr="00574B83" w:rsidRDefault="00574B83" w:rsidP="001812A0">
            <w:pPr>
              <w:spacing w:after="160" w:line="259" w:lineRule="auto"/>
              <w:jc w:val="both"/>
              <w:rPr>
                <w:rFonts w:ascii="Calibri" w:eastAsia="Times New Roman" w:hAnsi="Calibri"/>
                <w:color w:val="000000"/>
                <w:kern w:val="0"/>
                <w:sz w:val="24"/>
                <w:szCs w:val="24"/>
                <w:lang w:bidi="ne-NP"/>
                <w14:ligatures w14:val="none"/>
              </w:rPr>
            </w:pPr>
            <w:r w:rsidRPr="00574B83">
              <w:rPr>
                <w:rFonts w:ascii="Calibri" w:eastAsia="Times New Roman" w:hAnsi="Calibri"/>
                <w:color w:val="000000"/>
                <w:kern w:val="0"/>
                <w:sz w:val="24"/>
                <w:szCs w:val="24"/>
                <w:lang w:bidi="ne-NP"/>
                <w14:ligatures w14:val="none"/>
              </w:rPr>
              <w:t>5</w:t>
            </w:r>
          </w:p>
        </w:tc>
        <w:tc>
          <w:tcPr>
            <w:tcW w:w="2562" w:type="pct"/>
            <w:hideMark/>
          </w:tcPr>
          <w:p w14:paraId="2729CDD3" w14:textId="77777777" w:rsidR="00574B83" w:rsidRPr="00574B83" w:rsidRDefault="00574B83" w:rsidP="001812A0">
            <w:pPr>
              <w:spacing w:after="160" w:line="259" w:lineRule="auto"/>
              <w:jc w:val="both"/>
              <w:rPr>
                <w:rFonts w:ascii="Calibri" w:eastAsia="Times New Roman" w:hAnsi="Calibri"/>
                <w:color w:val="000000"/>
                <w:kern w:val="0"/>
                <w:sz w:val="24"/>
                <w:szCs w:val="24"/>
                <w:lang w:bidi="ne-NP"/>
                <w14:ligatures w14:val="none"/>
              </w:rPr>
            </w:pPr>
            <w:r w:rsidRPr="00574B83">
              <w:rPr>
                <w:rFonts w:ascii="Calibri" w:eastAsia="Times New Roman" w:hAnsi="Calibri"/>
                <w:color w:val="000000"/>
                <w:kern w:val="0"/>
                <w:sz w:val="24"/>
                <w:szCs w:val="24"/>
                <w:lang w:bidi="ne-NP"/>
                <w14:ligatures w14:val="none"/>
              </w:rPr>
              <w:t>Supervisor</w:t>
            </w:r>
          </w:p>
        </w:tc>
        <w:tc>
          <w:tcPr>
            <w:tcW w:w="1691" w:type="pct"/>
            <w:hideMark/>
          </w:tcPr>
          <w:p w14:paraId="09C9EC66" w14:textId="3676D9E2" w:rsidR="00574B83" w:rsidRPr="00574B83" w:rsidRDefault="00574B83" w:rsidP="001812A0">
            <w:pPr>
              <w:spacing w:after="160" w:line="259" w:lineRule="auto"/>
              <w:jc w:val="both"/>
              <w:rPr>
                <w:rFonts w:ascii="Calibri" w:eastAsia="Times New Roman" w:hAnsi="Calibri"/>
                <w:color w:val="000000"/>
                <w:kern w:val="0"/>
                <w:sz w:val="24"/>
                <w:szCs w:val="24"/>
                <w:lang w:bidi="ne-NP"/>
                <w14:ligatures w14:val="none"/>
              </w:rPr>
            </w:pPr>
            <w:r w:rsidRPr="00574B83">
              <w:rPr>
                <w:rFonts w:ascii="Calibri" w:eastAsia="Times New Roman" w:hAnsi="Calibri"/>
                <w:color w:val="000000"/>
                <w:kern w:val="0"/>
                <w:sz w:val="24"/>
                <w:szCs w:val="24"/>
                <w:lang w:bidi="ne-NP"/>
                <w14:ligatures w14:val="none"/>
              </w:rPr>
              <w:t>204.2</w:t>
            </w:r>
          </w:p>
        </w:tc>
      </w:tr>
      <w:tr w:rsidR="00574B83" w:rsidRPr="00574B83" w14:paraId="21234904" w14:textId="77777777" w:rsidTr="001812A0">
        <w:tc>
          <w:tcPr>
            <w:tcW w:w="747" w:type="pct"/>
            <w:hideMark/>
          </w:tcPr>
          <w:p w14:paraId="74FB0E3C" w14:textId="77777777" w:rsidR="00574B83" w:rsidRPr="00574B83" w:rsidRDefault="00574B83" w:rsidP="001812A0">
            <w:pPr>
              <w:spacing w:after="160" w:line="259" w:lineRule="auto"/>
              <w:jc w:val="both"/>
              <w:rPr>
                <w:rFonts w:ascii="Calibri" w:eastAsia="Times New Roman" w:hAnsi="Calibri"/>
                <w:color w:val="000000"/>
                <w:kern w:val="0"/>
                <w:sz w:val="24"/>
                <w:szCs w:val="24"/>
                <w:lang w:bidi="ne-NP"/>
                <w14:ligatures w14:val="none"/>
              </w:rPr>
            </w:pPr>
            <w:r w:rsidRPr="00574B83">
              <w:rPr>
                <w:rFonts w:ascii="Calibri" w:eastAsia="Times New Roman" w:hAnsi="Calibri"/>
                <w:color w:val="000000"/>
                <w:kern w:val="0"/>
                <w:sz w:val="24"/>
                <w:szCs w:val="24"/>
                <w:lang w:bidi="ne-NP"/>
                <w14:ligatures w14:val="none"/>
              </w:rPr>
              <w:t>6</w:t>
            </w:r>
          </w:p>
        </w:tc>
        <w:tc>
          <w:tcPr>
            <w:tcW w:w="2562" w:type="pct"/>
            <w:hideMark/>
          </w:tcPr>
          <w:p w14:paraId="5E5E1545" w14:textId="70BF47E8" w:rsidR="00574B83" w:rsidRPr="00574B83" w:rsidRDefault="00574B83" w:rsidP="001812A0">
            <w:pPr>
              <w:spacing w:after="160" w:line="259" w:lineRule="auto"/>
              <w:jc w:val="both"/>
              <w:rPr>
                <w:rFonts w:ascii="Calibri" w:eastAsia="Times New Roman" w:hAnsi="Calibri"/>
                <w:color w:val="000000"/>
                <w:kern w:val="0"/>
                <w:sz w:val="24"/>
                <w:szCs w:val="24"/>
                <w:lang w:bidi="ne-NP"/>
                <w14:ligatures w14:val="none"/>
              </w:rPr>
            </w:pPr>
            <w:r w:rsidRPr="00574B83">
              <w:rPr>
                <w:rFonts w:ascii="Calibri" w:eastAsia="Times New Roman" w:hAnsi="Calibri"/>
                <w:color w:val="000000"/>
                <w:kern w:val="0"/>
                <w:sz w:val="24"/>
                <w:szCs w:val="24"/>
                <w:lang w:bidi="ne-NP"/>
                <w14:ligatures w14:val="none"/>
              </w:rPr>
              <w:t>Labor</w:t>
            </w:r>
          </w:p>
        </w:tc>
        <w:tc>
          <w:tcPr>
            <w:tcW w:w="1691" w:type="pct"/>
            <w:hideMark/>
          </w:tcPr>
          <w:p w14:paraId="5A62F379" w14:textId="089192DD" w:rsidR="00574B83" w:rsidRPr="00574B83" w:rsidRDefault="00574B83" w:rsidP="001812A0">
            <w:pPr>
              <w:spacing w:after="160" w:line="259" w:lineRule="auto"/>
              <w:jc w:val="both"/>
              <w:rPr>
                <w:rFonts w:ascii="Calibri" w:eastAsia="Times New Roman" w:hAnsi="Calibri"/>
                <w:color w:val="000000"/>
                <w:kern w:val="0"/>
                <w:sz w:val="24"/>
                <w:szCs w:val="24"/>
                <w:lang w:bidi="ne-NP"/>
                <w14:ligatures w14:val="none"/>
              </w:rPr>
            </w:pPr>
            <w:r w:rsidRPr="00574B83">
              <w:rPr>
                <w:rFonts w:ascii="Calibri" w:eastAsia="Times New Roman" w:hAnsi="Calibri"/>
                <w:color w:val="000000"/>
                <w:kern w:val="0"/>
                <w:sz w:val="24"/>
                <w:szCs w:val="24"/>
                <w:lang w:bidi="ne-NP"/>
                <w14:ligatures w14:val="none"/>
              </w:rPr>
              <w:t>200.8</w:t>
            </w:r>
          </w:p>
        </w:tc>
      </w:tr>
      <w:tr w:rsidR="00574B83" w:rsidRPr="00574B83" w14:paraId="63A3BEF2" w14:textId="77777777" w:rsidTr="001812A0">
        <w:tc>
          <w:tcPr>
            <w:tcW w:w="747" w:type="pct"/>
            <w:hideMark/>
          </w:tcPr>
          <w:p w14:paraId="61B4F30C" w14:textId="77777777" w:rsidR="00574B83" w:rsidRPr="00574B83" w:rsidRDefault="00574B83" w:rsidP="001812A0">
            <w:pPr>
              <w:spacing w:after="160" w:line="259" w:lineRule="auto"/>
              <w:jc w:val="both"/>
              <w:rPr>
                <w:rFonts w:ascii="Calibri" w:eastAsia="Times New Roman" w:hAnsi="Calibri"/>
                <w:color w:val="000000"/>
                <w:kern w:val="0"/>
                <w:sz w:val="24"/>
                <w:szCs w:val="24"/>
                <w:lang w:bidi="ne-NP"/>
                <w14:ligatures w14:val="none"/>
              </w:rPr>
            </w:pPr>
            <w:r w:rsidRPr="00574B83">
              <w:rPr>
                <w:rFonts w:ascii="Calibri" w:eastAsia="Times New Roman" w:hAnsi="Calibri"/>
                <w:color w:val="000000"/>
                <w:kern w:val="0"/>
                <w:sz w:val="24"/>
                <w:szCs w:val="24"/>
                <w:lang w:bidi="ne-NP"/>
                <w14:ligatures w14:val="none"/>
              </w:rPr>
              <w:t>7</w:t>
            </w:r>
          </w:p>
        </w:tc>
        <w:tc>
          <w:tcPr>
            <w:tcW w:w="2562" w:type="pct"/>
            <w:hideMark/>
          </w:tcPr>
          <w:p w14:paraId="75DCEFF8" w14:textId="77777777" w:rsidR="00574B83" w:rsidRPr="00574B83" w:rsidRDefault="00574B83" w:rsidP="001812A0">
            <w:pPr>
              <w:spacing w:after="160" w:line="259" w:lineRule="auto"/>
              <w:jc w:val="both"/>
              <w:rPr>
                <w:rFonts w:ascii="Calibri" w:eastAsia="Times New Roman" w:hAnsi="Calibri"/>
                <w:color w:val="000000"/>
                <w:kern w:val="0"/>
                <w:sz w:val="24"/>
                <w:szCs w:val="24"/>
                <w:lang w:bidi="ne-NP"/>
                <w14:ligatures w14:val="none"/>
              </w:rPr>
            </w:pPr>
            <w:r w:rsidRPr="00574B83">
              <w:rPr>
                <w:rFonts w:ascii="Calibri" w:eastAsia="Times New Roman" w:hAnsi="Calibri"/>
                <w:color w:val="000000"/>
                <w:kern w:val="0"/>
                <w:sz w:val="24"/>
                <w:szCs w:val="24"/>
                <w:lang w:bidi="ne-NP"/>
                <w14:ligatures w14:val="none"/>
              </w:rPr>
              <w:t>Sub-Engineer</w:t>
            </w:r>
          </w:p>
        </w:tc>
        <w:tc>
          <w:tcPr>
            <w:tcW w:w="1691" w:type="pct"/>
            <w:hideMark/>
          </w:tcPr>
          <w:p w14:paraId="37EEEA6A" w14:textId="53BBE101" w:rsidR="00574B83" w:rsidRPr="00574B83" w:rsidRDefault="00574B83" w:rsidP="001812A0">
            <w:pPr>
              <w:spacing w:after="160" w:line="259" w:lineRule="auto"/>
              <w:jc w:val="both"/>
              <w:rPr>
                <w:rFonts w:ascii="Calibri" w:eastAsia="Times New Roman" w:hAnsi="Calibri"/>
                <w:color w:val="000000"/>
                <w:kern w:val="0"/>
                <w:sz w:val="24"/>
                <w:szCs w:val="24"/>
                <w:lang w:bidi="ne-NP"/>
                <w14:ligatures w14:val="none"/>
              </w:rPr>
            </w:pPr>
            <w:r w:rsidRPr="00574B83">
              <w:rPr>
                <w:rFonts w:ascii="Calibri" w:eastAsia="Times New Roman" w:hAnsi="Calibri"/>
                <w:color w:val="000000"/>
                <w:kern w:val="0"/>
                <w:sz w:val="24"/>
                <w:szCs w:val="24"/>
                <w:lang w:bidi="ne-NP"/>
                <w14:ligatures w14:val="none"/>
              </w:rPr>
              <w:t>173.9</w:t>
            </w:r>
          </w:p>
        </w:tc>
      </w:tr>
      <w:tr w:rsidR="00574B83" w:rsidRPr="00574B83" w14:paraId="5F3F3F4F" w14:textId="77777777" w:rsidTr="001812A0">
        <w:tc>
          <w:tcPr>
            <w:tcW w:w="747" w:type="pct"/>
            <w:hideMark/>
          </w:tcPr>
          <w:p w14:paraId="1BE12CF9" w14:textId="77777777" w:rsidR="00574B83" w:rsidRPr="00574B83" w:rsidRDefault="00574B83" w:rsidP="001812A0">
            <w:pPr>
              <w:spacing w:after="160" w:line="259" w:lineRule="auto"/>
              <w:jc w:val="both"/>
              <w:rPr>
                <w:rFonts w:ascii="Calibri" w:eastAsia="Times New Roman" w:hAnsi="Calibri"/>
                <w:color w:val="000000"/>
                <w:kern w:val="0"/>
                <w:sz w:val="24"/>
                <w:szCs w:val="24"/>
                <w:lang w:bidi="ne-NP"/>
                <w14:ligatures w14:val="none"/>
              </w:rPr>
            </w:pPr>
            <w:r w:rsidRPr="00574B83">
              <w:rPr>
                <w:rFonts w:ascii="Calibri" w:eastAsia="Times New Roman" w:hAnsi="Calibri"/>
                <w:color w:val="000000"/>
                <w:kern w:val="0"/>
                <w:sz w:val="24"/>
                <w:szCs w:val="24"/>
                <w:lang w:bidi="ne-NP"/>
                <w14:ligatures w14:val="none"/>
              </w:rPr>
              <w:t>8</w:t>
            </w:r>
          </w:p>
        </w:tc>
        <w:tc>
          <w:tcPr>
            <w:tcW w:w="2562" w:type="pct"/>
            <w:hideMark/>
          </w:tcPr>
          <w:p w14:paraId="288704E1" w14:textId="77777777" w:rsidR="00574B83" w:rsidRPr="00574B83" w:rsidRDefault="00574B83" w:rsidP="001812A0">
            <w:pPr>
              <w:spacing w:after="160" w:line="259" w:lineRule="auto"/>
              <w:jc w:val="both"/>
              <w:rPr>
                <w:rFonts w:ascii="Calibri" w:eastAsia="Times New Roman" w:hAnsi="Calibri"/>
                <w:color w:val="000000"/>
                <w:kern w:val="0"/>
                <w:sz w:val="24"/>
                <w:szCs w:val="24"/>
                <w:lang w:bidi="ne-NP"/>
                <w14:ligatures w14:val="none"/>
              </w:rPr>
            </w:pPr>
            <w:r w:rsidRPr="00574B83">
              <w:rPr>
                <w:rFonts w:ascii="Calibri" w:eastAsia="Times New Roman" w:hAnsi="Calibri"/>
                <w:color w:val="000000"/>
                <w:kern w:val="0"/>
                <w:sz w:val="24"/>
                <w:szCs w:val="24"/>
                <w:lang w:bidi="ne-NP"/>
                <w14:ligatures w14:val="none"/>
              </w:rPr>
              <w:t>Engineer</w:t>
            </w:r>
          </w:p>
        </w:tc>
        <w:tc>
          <w:tcPr>
            <w:tcW w:w="1691" w:type="pct"/>
            <w:hideMark/>
          </w:tcPr>
          <w:p w14:paraId="5ED2FCF6" w14:textId="69B3D075" w:rsidR="00574B83" w:rsidRPr="00574B83" w:rsidRDefault="00574B83" w:rsidP="001812A0">
            <w:pPr>
              <w:spacing w:after="160" w:line="259" w:lineRule="auto"/>
              <w:jc w:val="both"/>
              <w:rPr>
                <w:rFonts w:ascii="Calibri" w:eastAsia="Times New Roman" w:hAnsi="Calibri"/>
                <w:color w:val="000000"/>
                <w:kern w:val="0"/>
                <w:sz w:val="24"/>
                <w:szCs w:val="24"/>
                <w:lang w:bidi="ne-NP"/>
                <w14:ligatures w14:val="none"/>
              </w:rPr>
            </w:pPr>
            <w:r w:rsidRPr="00574B83">
              <w:rPr>
                <w:rFonts w:ascii="Calibri" w:eastAsia="Times New Roman" w:hAnsi="Calibri"/>
                <w:color w:val="000000"/>
                <w:kern w:val="0"/>
                <w:sz w:val="24"/>
                <w:szCs w:val="24"/>
                <w:lang w:bidi="ne-NP"/>
                <w14:ligatures w14:val="none"/>
              </w:rPr>
              <w:t>166.1</w:t>
            </w:r>
          </w:p>
        </w:tc>
      </w:tr>
    </w:tbl>
    <w:p w14:paraId="186CA0A7" w14:textId="77777777" w:rsidR="00574B83" w:rsidRPr="00574B83" w:rsidRDefault="00000000" w:rsidP="001812A0">
      <w:pPr>
        <w:jc w:val="both"/>
        <w:rPr>
          <w:rFonts w:ascii="Calibri" w:eastAsia="Times New Roman" w:hAnsi="Calibri"/>
          <w:color w:val="000000"/>
          <w:kern w:val="0"/>
          <w:sz w:val="24"/>
          <w:szCs w:val="24"/>
          <w:lang w:bidi="ne-NP"/>
          <w14:ligatures w14:val="none"/>
        </w:rPr>
      </w:pPr>
      <w:r>
        <w:rPr>
          <w:rFonts w:ascii="Calibri" w:eastAsia="Times New Roman" w:hAnsi="Calibri"/>
          <w:color w:val="000000"/>
          <w:kern w:val="0"/>
          <w:sz w:val="24"/>
          <w:szCs w:val="24"/>
          <w:lang w:bidi="ne-NP"/>
          <w14:ligatures w14:val="none"/>
        </w:rPr>
        <w:pict w14:anchorId="653542A7">
          <v:rect id="_x0000_i1025" style="width:0;height:1.5pt" o:hralign="center" o:hrstd="t" o:hr="t" fillcolor="#a0a0a0" stroked="f"/>
        </w:pict>
      </w:r>
    </w:p>
    <w:p w14:paraId="1A5BF02D" w14:textId="77777777" w:rsidR="00574B83" w:rsidRPr="00574B83" w:rsidRDefault="00574B83" w:rsidP="001812A0">
      <w:pPr>
        <w:jc w:val="both"/>
        <w:rPr>
          <w:rFonts w:ascii="Calibri" w:eastAsia="Times New Roman" w:hAnsi="Calibri"/>
          <w:b/>
          <w:bCs/>
          <w:color w:val="000000"/>
          <w:kern w:val="0"/>
          <w:sz w:val="24"/>
          <w:szCs w:val="24"/>
          <w:lang w:bidi="ne-NP"/>
          <w14:ligatures w14:val="none"/>
        </w:rPr>
      </w:pPr>
      <w:r w:rsidRPr="00574B83">
        <w:rPr>
          <w:rFonts w:ascii="Calibri" w:eastAsia="Times New Roman" w:hAnsi="Calibri"/>
          <w:b/>
          <w:bCs/>
          <w:color w:val="000000"/>
          <w:kern w:val="0"/>
          <w:sz w:val="24"/>
          <w:szCs w:val="24"/>
          <w:lang w:bidi="ne-NP"/>
          <w14:ligatures w14:val="none"/>
        </w:rPr>
        <w:t>8. Trend of IPICS, Construction Materials, and Wage Index</w:t>
      </w:r>
    </w:p>
    <w:p w14:paraId="5419A917" w14:textId="70085BF8" w:rsidR="00574B83" w:rsidRPr="00574B83" w:rsidRDefault="00574B83" w:rsidP="001812A0">
      <w:pPr>
        <w:jc w:val="both"/>
        <w:rPr>
          <w:rFonts w:ascii="Calibri" w:eastAsia="Times New Roman" w:hAnsi="Calibri"/>
          <w:color w:val="000000"/>
          <w:kern w:val="0"/>
          <w:sz w:val="24"/>
          <w:szCs w:val="24"/>
          <w:lang w:bidi="ne-NP"/>
          <w14:ligatures w14:val="none"/>
        </w:rPr>
      </w:pPr>
      <w:r w:rsidRPr="00574B83">
        <w:rPr>
          <w:rFonts w:ascii="Calibri" w:eastAsia="Times New Roman" w:hAnsi="Calibri"/>
          <w:color w:val="000000"/>
          <w:kern w:val="0"/>
          <w:sz w:val="24"/>
          <w:szCs w:val="24"/>
          <w:lang w:bidi="ne-NP"/>
          <w14:ligatures w14:val="none"/>
        </w:rPr>
        <w:t xml:space="preserve">From the base year to the present, the IPICS, construction materials, and labor wage indices show an overall </w:t>
      </w:r>
      <w:r w:rsidRPr="00574B83">
        <w:rPr>
          <w:rFonts w:ascii="Calibri" w:eastAsia="Times New Roman" w:hAnsi="Calibri"/>
          <w:b/>
          <w:bCs/>
          <w:color w:val="000000"/>
          <w:kern w:val="0"/>
          <w:sz w:val="24"/>
          <w:szCs w:val="24"/>
          <w:lang w:bidi="ne-NP"/>
          <w14:ligatures w14:val="none"/>
        </w:rPr>
        <w:t>upward trend</w:t>
      </w:r>
      <w:r w:rsidRPr="00574B83">
        <w:rPr>
          <w:rFonts w:ascii="Calibri" w:eastAsia="Times New Roman" w:hAnsi="Calibri"/>
          <w:color w:val="000000"/>
          <w:kern w:val="0"/>
          <w:sz w:val="24"/>
          <w:szCs w:val="24"/>
          <w:lang w:bidi="ne-NP"/>
          <w14:ligatures w14:val="none"/>
        </w:rPr>
        <w:t>, indicating sustained long-term pressure on construction costs. Although</w:t>
      </w:r>
      <w:r w:rsidR="00D6404B">
        <w:rPr>
          <w:rFonts w:ascii="Calibri" w:eastAsia="Times New Roman" w:hAnsi="Calibri"/>
          <w:color w:val="000000"/>
          <w:kern w:val="0"/>
          <w:sz w:val="24"/>
          <w:szCs w:val="24"/>
          <w:lang w:bidi="ne-NP"/>
          <w14:ligatures w14:val="none"/>
        </w:rPr>
        <w:t xml:space="preserve"> </w:t>
      </w:r>
      <w:r w:rsidRPr="00574B83">
        <w:rPr>
          <w:rFonts w:ascii="Calibri" w:eastAsia="Times New Roman" w:hAnsi="Calibri"/>
          <w:color w:val="000000"/>
          <w:kern w:val="0"/>
          <w:sz w:val="24"/>
          <w:szCs w:val="24"/>
          <w:lang w:bidi="ne-NP"/>
          <w14:ligatures w14:val="none"/>
        </w:rPr>
        <w:t xml:space="preserve">there is a slight </w:t>
      </w:r>
      <w:r w:rsidR="001D3CFE">
        <w:rPr>
          <w:rFonts w:ascii="Calibri" w:eastAsia="Times New Roman" w:hAnsi="Calibri"/>
          <w:color w:val="000000"/>
          <w:kern w:val="0"/>
          <w:sz w:val="24"/>
          <w:szCs w:val="24"/>
          <w:lang w:bidi="ne-NP"/>
          <w14:ligatures w14:val="none"/>
        </w:rPr>
        <w:t>de</w:t>
      </w:r>
      <w:r w:rsidRPr="00574B83">
        <w:rPr>
          <w:rFonts w:ascii="Calibri" w:eastAsia="Times New Roman" w:hAnsi="Calibri"/>
          <w:color w:val="000000"/>
          <w:kern w:val="0"/>
          <w:sz w:val="24"/>
          <w:szCs w:val="24"/>
          <w:lang w:bidi="ne-NP"/>
          <w14:ligatures w14:val="none"/>
        </w:rPr>
        <w:t>crease in the overall index in the current quarter, the long-term trend remains increasing.</w:t>
      </w:r>
    </w:p>
    <w:p w14:paraId="0BE56A06" w14:textId="2CE77C1F" w:rsidR="00311EC7" w:rsidRDefault="00562FCD" w:rsidP="002475C9">
      <w:pPr>
        <w:spacing w:after="0" w:line="240" w:lineRule="auto"/>
        <w:jc w:val="both"/>
        <w:rPr>
          <w:noProof/>
        </w:rPr>
      </w:pPr>
      <w:r>
        <w:rPr>
          <w:noProof/>
        </w:rPr>
        <w:lastRenderedPageBreak/>
        <w:drawing>
          <wp:inline distT="0" distB="0" distL="0" distR="0" wp14:anchorId="4AA6A0FF" wp14:editId="6C8A720D">
            <wp:extent cx="5873750" cy="4235450"/>
            <wp:effectExtent l="0" t="0" r="12700" b="12700"/>
            <wp:docPr id="1835625371" name="Chart 1">
              <a:extLst xmlns:a="http://schemas.openxmlformats.org/drawingml/2006/main">
                <a:ext uri="{FF2B5EF4-FFF2-40B4-BE49-F238E27FC236}">
                  <a16:creationId xmlns:a16="http://schemas.microsoft.com/office/drawing/2014/main" id="{C0C796B4-58C3-4A7A-DB47-890C6807F3EE}"/>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5"/>
              </a:graphicData>
            </a:graphic>
          </wp:inline>
        </w:drawing>
      </w:r>
    </w:p>
    <w:p w14:paraId="75DBA3E3" w14:textId="77777777" w:rsidR="002475C9" w:rsidRPr="002475C9" w:rsidRDefault="002475C9" w:rsidP="002475C9">
      <w:pPr>
        <w:rPr>
          <w:sz w:val="24"/>
          <w:szCs w:val="24"/>
          <w:lang w:bidi="ne-NP"/>
        </w:rPr>
      </w:pPr>
    </w:p>
    <w:p w14:paraId="4274CE1D" w14:textId="77777777" w:rsidR="002475C9" w:rsidRPr="002475C9" w:rsidRDefault="002475C9" w:rsidP="002475C9">
      <w:pPr>
        <w:rPr>
          <w:sz w:val="24"/>
          <w:szCs w:val="24"/>
          <w:lang w:bidi="ne-NP"/>
        </w:rPr>
      </w:pPr>
    </w:p>
    <w:p w14:paraId="19DFB90F" w14:textId="77777777" w:rsidR="002475C9" w:rsidRPr="002475C9" w:rsidRDefault="002475C9" w:rsidP="002475C9">
      <w:pPr>
        <w:rPr>
          <w:sz w:val="24"/>
          <w:szCs w:val="24"/>
          <w:lang w:bidi="ne-NP"/>
        </w:rPr>
      </w:pPr>
    </w:p>
    <w:p w14:paraId="2B48DAF4" w14:textId="77777777" w:rsidR="002475C9" w:rsidRPr="002475C9" w:rsidRDefault="002475C9" w:rsidP="002475C9">
      <w:pPr>
        <w:rPr>
          <w:sz w:val="24"/>
          <w:szCs w:val="24"/>
          <w:lang w:bidi="ne-NP"/>
        </w:rPr>
      </w:pPr>
    </w:p>
    <w:p w14:paraId="3817445B" w14:textId="77777777" w:rsidR="002475C9" w:rsidRDefault="002475C9" w:rsidP="002475C9">
      <w:pPr>
        <w:rPr>
          <w:noProof/>
        </w:rPr>
      </w:pPr>
    </w:p>
    <w:p w14:paraId="52D1BA34" w14:textId="6ECDC4AC" w:rsidR="002475C9" w:rsidRPr="00117D23" w:rsidRDefault="002475C9" w:rsidP="00624BA4">
      <w:pPr>
        <w:tabs>
          <w:tab w:val="left" w:pos="3900"/>
        </w:tabs>
        <w:rPr>
          <w:sz w:val="40"/>
          <w:szCs w:val="40"/>
          <w:lang w:bidi="ne-NP"/>
        </w:rPr>
      </w:pPr>
      <w:r>
        <w:rPr>
          <w:sz w:val="24"/>
          <w:szCs w:val="24"/>
          <w:lang w:bidi="ne-NP"/>
        </w:rPr>
        <w:tab/>
      </w:r>
      <w:r w:rsidRPr="00117D23">
        <w:rPr>
          <w:sz w:val="40"/>
          <w:szCs w:val="40"/>
          <w:lang w:bidi="ne-NP"/>
        </w:rPr>
        <w:t>The End</w:t>
      </w:r>
    </w:p>
    <w:sectPr w:rsidR="002475C9" w:rsidRPr="00117D23" w:rsidSect="00FE737D">
      <w:pgSz w:w="12240" w:h="15840"/>
      <w:pgMar w:top="810" w:right="1440" w:bottom="90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angal">
    <w:panose1 w:val="02040503050203030202"/>
    <w:charset w:val="00"/>
    <w:family w:val="roman"/>
    <w:pitch w:val="variable"/>
    <w:sig w:usb0="00008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Nirmala UI">
    <w:panose1 w:val="020B0502040204020203"/>
    <w:charset w:val="00"/>
    <w:family w:val="swiss"/>
    <w:pitch w:val="variable"/>
    <w:sig w:usb0="80FF8023" w:usb1="0200004A" w:usb2="000002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856153"/>
    <w:multiLevelType w:val="hybridMultilevel"/>
    <w:tmpl w:val="C0783FF0"/>
    <w:lvl w:ilvl="0" w:tplc="2BCCACC0">
      <w:start w:val="1"/>
      <w:numFmt w:val="hindiNumbers"/>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12527A24"/>
    <w:multiLevelType w:val="hybridMultilevel"/>
    <w:tmpl w:val="1FE03C8A"/>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17F452D"/>
    <w:multiLevelType w:val="hybridMultilevel"/>
    <w:tmpl w:val="151073F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72443BE"/>
    <w:multiLevelType w:val="hybridMultilevel"/>
    <w:tmpl w:val="D2384136"/>
    <w:lvl w:ilvl="0" w:tplc="230005CC">
      <w:start w:val="1"/>
      <w:numFmt w:val="hindiNumbers"/>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975364A"/>
    <w:multiLevelType w:val="hybridMultilevel"/>
    <w:tmpl w:val="E7C2A9E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9D83239"/>
    <w:multiLevelType w:val="hybridMultilevel"/>
    <w:tmpl w:val="DB46AB96"/>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E1928A2"/>
    <w:multiLevelType w:val="hybridMultilevel"/>
    <w:tmpl w:val="180CFC22"/>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FE23239"/>
    <w:multiLevelType w:val="hybridMultilevel"/>
    <w:tmpl w:val="AC5E2248"/>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739C7FEB"/>
    <w:multiLevelType w:val="hybridMultilevel"/>
    <w:tmpl w:val="21FE7F8E"/>
    <w:lvl w:ilvl="0" w:tplc="8B0E3FC0">
      <w:start w:val="1"/>
      <w:numFmt w:val="hindiNumbers"/>
      <w:lvlText w:val="%1."/>
      <w:lvlJc w:val="left"/>
      <w:pPr>
        <w:ind w:left="720" w:hanging="360"/>
      </w:pPr>
      <w:rPr>
        <w:rFonts w:asciiTheme="minorHAnsi" w:eastAsiaTheme="minorHAnsi" w:hAnsiTheme="minorHAnsi" w:cstheme="minorBidi"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7C62080A"/>
    <w:multiLevelType w:val="hybridMultilevel"/>
    <w:tmpl w:val="21FE7F8E"/>
    <w:lvl w:ilvl="0" w:tplc="FFFFFFFF">
      <w:start w:val="1"/>
      <w:numFmt w:val="hindiNumbers"/>
      <w:lvlText w:val="%1."/>
      <w:lvlJc w:val="left"/>
      <w:pPr>
        <w:ind w:left="720" w:hanging="360"/>
      </w:pPr>
      <w:rPr>
        <w:rFonts w:asciiTheme="minorHAnsi" w:eastAsiaTheme="minorHAnsi" w:hAnsiTheme="minorHAnsi" w:cstheme="minorBidi" w:hint="default"/>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51270563">
    <w:abstractNumId w:val="7"/>
  </w:num>
  <w:num w:numId="2" w16cid:durableId="982545336">
    <w:abstractNumId w:val="4"/>
  </w:num>
  <w:num w:numId="3" w16cid:durableId="575437749">
    <w:abstractNumId w:val="3"/>
  </w:num>
  <w:num w:numId="4" w16cid:durableId="752550758">
    <w:abstractNumId w:val="0"/>
  </w:num>
  <w:num w:numId="5" w16cid:durableId="1639989440">
    <w:abstractNumId w:val="8"/>
  </w:num>
  <w:num w:numId="6" w16cid:durableId="2136563393">
    <w:abstractNumId w:val="5"/>
  </w:num>
  <w:num w:numId="7" w16cid:durableId="132218700">
    <w:abstractNumId w:val="6"/>
  </w:num>
  <w:num w:numId="8" w16cid:durableId="638413357">
    <w:abstractNumId w:val="2"/>
  </w:num>
  <w:num w:numId="9" w16cid:durableId="1145125278">
    <w:abstractNumId w:val="1"/>
  </w:num>
  <w:num w:numId="10" w16cid:durableId="155079476">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11EC7"/>
    <w:rsid w:val="00024CB5"/>
    <w:rsid w:val="00051FFB"/>
    <w:rsid w:val="00052721"/>
    <w:rsid w:val="00053100"/>
    <w:rsid w:val="00053E4B"/>
    <w:rsid w:val="00092DCC"/>
    <w:rsid w:val="000A078F"/>
    <w:rsid w:val="000A6714"/>
    <w:rsid w:val="000C49FC"/>
    <w:rsid w:val="000C51B2"/>
    <w:rsid w:val="000C560D"/>
    <w:rsid w:val="000F4A65"/>
    <w:rsid w:val="0010194B"/>
    <w:rsid w:val="001019A0"/>
    <w:rsid w:val="001067BA"/>
    <w:rsid w:val="00112598"/>
    <w:rsid w:val="00112BE5"/>
    <w:rsid w:val="00117D23"/>
    <w:rsid w:val="00121F2E"/>
    <w:rsid w:val="001433C9"/>
    <w:rsid w:val="001812A0"/>
    <w:rsid w:val="001851B7"/>
    <w:rsid w:val="00191B8F"/>
    <w:rsid w:val="001958FC"/>
    <w:rsid w:val="001D3A8D"/>
    <w:rsid w:val="001D3CFE"/>
    <w:rsid w:val="001D5CFF"/>
    <w:rsid w:val="001D60D8"/>
    <w:rsid w:val="0020610F"/>
    <w:rsid w:val="00230FE4"/>
    <w:rsid w:val="002475C9"/>
    <w:rsid w:val="002565F0"/>
    <w:rsid w:val="002B5918"/>
    <w:rsid w:val="002B7F98"/>
    <w:rsid w:val="002E2E14"/>
    <w:rsid w:val="00310A43"/>
    <w:rsid w:val="00311EC7"/>
    <w:rsid w:val="00367B76"/>
    <w:rsid w:val="00370FB9"/>
    <w:rsid w:val="00374532"/>
    <w:rsid w:val="003851D0"/>
    <w:rsid w:val="00393D16"/>
    <w:rsid w:val="00395081"/>
    <w:rsid w:val="003A1F84"/>
    <w:rsid w:val="003D5E54"/>
    <w:rsid w:val="003E0859"/>
    <w:rsid w:val="00421170"/>
    <w:rsid w:val="00422030"/>
    <w:rsid w:val="0042585B"/>
    <w:rsid w:val="0051315E"/>
    <w:rsid w:val="00523ADE"/>
    <w:rsid w:val="00527636"/>
    <w:rsid w:val="00531397"/>
    <w:rsid w:val="00546750"/>
    <w:rsid w:val="0055068F"/>
    <w:rsid w:val="005539D8"/>
    <w:rsid w:val="00562FCD"/>
    <w:rsid w:val="00574904"/>
    <w:rsid w:val="00574B83"/>
    <w:rsid w:val="005A691A"/>
    <w:rsid w:val="005C3309"/>
    <w:rsid w:val="005C3A91"/>
    <w:rsid w:val="005E1E15"/>
    <w:rsid w:val="005E78DC"/>
    <w:rsid w:val="005F140F"/>
    <w:rsid w:val="00606375"/>
    <w:rsid w:val="00624BA4"/>
    <w:rsid w:val="006913E6"/>
    <w:rsid w:val="006D1890"/>
    <w:rsid w:val="006E0652"/>
    <w:rsid w:val="006F1537"/>
    <w:rsid w:val="006F7771"/>
    <w:rsid w:val="00761410"/>
    <w:rsid w:val="0076412F"/>
    <w:rsid w:val="007720E7"/>
    <w:rsid w:val="00777B58"/>
    <w:rsid w:val="007931CD"/>
    <w:rsid w:val="00797792"/>
    <w:rsid w:val="007C0EB4"/>
    <w:rsid w:val="007E01D9"/>
    <w:rsid w:val="007E60A7"/>
    <w:rsid w:val="007F3837"/>
    <w:rsid w:val="00807C2B"/>
    <w:rsid w:val="008238DD"/>
    <w:rsid w:val="008351CC"/>
    <w:rsid w:val="00842B32"/>
    <w:rsid w:val="00866A08"/>
    <w:rsid w:val="008902EF"/>
    <w:rsid w:val="008A2A27"/>
    <w:rsid w:val="008A79F3"/>
    <w:rsid w:val="008B12F5"/>
    <w:rsid w:val="008C4E18"/>
    <w:rsid w:val="008D1236"/>
    <w:rsid w:val="008E5A95"/>
    <w:rsid w:val="008F6102"/>
    <w:rsid w:val="00901C80"/>
    <w:rsid w:val="009373D6"/>
    <w:rsid w:val="009808DE"/>
    <w:rsid w:val="009A58C8"/>
    <w:rsid w:val="009C1083"/>
    <w:rsid w:val="009E5F70"/>
    <w:rsid w:val="009F15B7"/>
    <w:rsid w:val="009F534D"/>
    <w:rsid w:val="00A30E71"/>
    <w:rsid w:val="00A37A1A"/>
    <w:rsid w:val="00A6549F"/>
    <w:rsid w:val="00A93CF8"/>
    <w:rsid w:val="00AB08C3"/>
    <w:rsid w:val="00AD41D9"/>
    <w:rsid w:val="00AE7559"/>
    <w:rsid w:val="00AF531C"/>
    <w:rsid w:val="00AF7AE3"/>
    <w:rsid w:val="00B34E2A"/>
    <w:rsid w:val="00B9100B"/>
    <w:rsid w:val="00B95184"/>
    <w:rsid w:val="00BD5F4E"/>
    <w:rsid w:val="00C26F14"/>
    <w:rsid w:val="00C31D2D"/>
    <w:rsid w:val="00C3331A"/>
    <w:rsid w:val="00C40A7C"/>
    <w:rsid w:val="00C5157A"/>
    <w:rsid w:val="00C71F83"/>
    <w:rsid w:val="00CA1735"/>
    <w:rsid w:val="00CB76BD"/>
    <w:rsid w:val="00CC56DA"/>
    <w:rsid w:val="00CD31EC"/>
    <w:rsid w:val="00CD5C24"/>
    <w:rsid w:val="00CE3937"/>
    <w:rsid w:val="00CE5E53"/>
    <w:rsid w:val="00CF5886"/>
    <w:rsid w:val="00CF79F2"/>
    <w:rsid w:val="00D03E73"/>
    <w:rsid w:val="00D1258A"/>
    <w:rsid w:val="00D338DE"/>
    <w:rsid w:val="00D40FFE"/>
    <w:rsid w:val="00D6404B"/>
    <w:rsid w:val="00D6479E"/>
    <w:rsid w:val="00DA1AC6"/>
    <w:rsid w:val="00DA1BFB"/>
    <w:rsid w:val="00DA55DE"/>
    <w:rsid w:val="00DF2B3D"/>
    <w:rsid w:val="00E0406D"/>
    <w:rsid w:val="00E15D80"/>
    <w:rsid w:val="00E42372"/>
    <w:rsid w:val="00E80E24"/>
    <w:rsid w:val="00E952ED"/>
    <w:rsid w:val="00EA55F8"/>
    <w:rsid w:val="00ED77EE"/>
    <w:rsid w:val="00EE3BB1"/>
    <w:rsid w:val="00EE5B24"/>
    <w:rsid w:val="00EF7347"/>
    <w:rsid w:val="00EF7966"/>
    <w:rsid w:val="00F5005C"/>
    <w:rsid w:val="00F53A6E"/>
    <w:rsid w:val="00F558F7"/>
    <w:rsid w:val="00F80CC2"/>
    <w:rsid w:val="00F81BA9"/>
    <w:rsid w:val="00FB1A32"/>
    <w:rsid w:val="00FC3D52"/>
    <w:rsid w:val="00FC79B3"/>
    <w:rsid w:val="00FE737D"/>
  </w:rsids>
  <m:mathPr>
    <m:mathFont m:val="Cambria Math"/>
    <m:brkBin m:val="before"/>
    <m:brkBinSub m:val="--"/>
    <m:smallFrac m:val="0"/>
    <m:dispDef/>
    <m:lMargin m:val="0"/>
    <m:rMargin m:val="0"/>
    <m:defJc m:val="centerGroup"/>
    <m:wrapIndent m:val="1440"/>
    <m:intLim m:val="subSup"/>
    <m:naryLim m:val="undOvr"/>
  </m:mathPr>
  <w:themeFontLang w:val="en-US" w:bidi="ne-N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A02204"/>
  <w15:chartTrackingRefBased/>
  <w15:docId w15:val="{25E22D00-70F5-4288-BB3F-7A723EE74F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A691A"/>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9E5F70"/>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semiHidden/>
    <w:unhideWhenUsed/>
    <w:qFormat/>
    <w:rsid w:val="00574B83"/>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11EC7"/>
    <w:pPr>
      <w:ind w:left="720"/>
      <w:contextualSpacing/>
    </w:pPr>
  </w:style>
  <w:style w:type="paragraph" w:styleId="Revision">
    <w:name w:val="Revision"/>
    <w:hidden/>
    <w:uiPriority w:val="99"/>
    <w:semiHidden/>
    <w:rsid w:val="000C49FC"/>
    <w:pPr>
      <w:spacing w:after="0" w:line="240" w:lineRule="auto"/>
    </w:pPr>
  </w:style>
  <w:style w:type="table" w:styleId="TableGrid">
    <w:name w:val="Table Grid"/>
    <w:basedOn w:val="TableNormal"/>
    <w:uiPriority w:val="39"/>
    <w:rsid w:val="003E085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5A691A"/>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9E5F70"/>
    <w:rPr>
      <w:rFonts w:asciiTheme="majorHAnsi" w:eastAsiaTheme="majorEastAsia" w:hAnsiTheme="majorHAnsi" w:cstheme="majorBidi"/>
      <w:color w:val="1F3763" w:themeColor="accent1" w:themeShade="7F"/>
      <w:sz w:val="24"/>
      <w:szCs w:val="24"/>
    </w:rPr>
  </w:style>
  <w:style w:type="character" w:customStyle="1" w:styleId="Heading4Char">
    <w:name w:val="Heading 4 Char"/>
    <w:basedOn w:val="DefaultParagraphFont"/>
    <w:link w:val="Heading4"/>
    <w:uiPriority w:val="9"/>
    <w:semiHidden/>
    <w:rsid w:val="00574B83"/>
    <w:rPr>
      <w:rFonts w:asciiTheme="majorHAnsi" w:eastAsiaTheme="majorEastAsia" w:hAnsiTheme="majorHAnsi" w:cstheme="majorBidi"/>
      <w:i/>
      <w:iCs/>
      <w:color w:val="2F5496" w:themeColor="accent1" w:themeShade="BF"/>
    </w:rPr>
  </w:style>
  <w:style w:type="paragraph" w:styleId="NormalWeb">
    <w:name w:val="Normal (Web)"/>
    <w:basedOn w:val="Normal"/>
    <w:uiPriority w:val="99"/>
    <w:semiHidden/>
    <w:unhideWhenUsed/>
    <w:rsid w:val="007F3837"/>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5111219">
      <w:bodyDiv w:val="1"/>
      <w:marLeft w:val="0"/>
      <w:marRight w:val="0"/>
      <w:marTop w:val="0"/>
      <w:marBottom w:val="0"/>
      <w:divBdr>
        <w:top w:val="none" w:sz="0" w:space="0" w:color="auto"/>
        <w:left w:val="none" w:sz="0" w:space="0" w:color="auto"/>
        <w:bottom w:val="none" w:sz="0" w:space="0" w:color="auto"/>
        <w:right w:val="none" w:sz="0" w:space="0" w:color="auto"/>
      </w:divBdr>
    </w:div>
    <w:div w:id="50033636">
      <w:bodyDiv w:val="1"/>
      <w:marLeft w:val="0"/>
      <w:marRight w:val="0"/>
      <w:marTop w:val="0"/>
      <w:marBottom w:val="0"/>
      <w:divBdr>
        <w:top w:val="none" w:sz="0" w:space="0" w:color="auto"/>
        <w:left w:val="none" w:sz="0" w:space="0" w:color="auto"/>
        <w:bottom w:val="none" w:sz="0" w:space="0" w:color="auto"/>
        <w:right w:val="none" w:sz="0" w:space="0" w:color="auto"/>
      </w:divBdr>
    </w:div>
    <w:div w:id="100759131">
      <w:bodyDiv w:val="1"/>
      <w:marLeft w:val="0"/>
      <w:marRight w:val="0"/>
      <w:marTop w:val="0"/>
      <w:marBottom w:val="0"/>
      <w:divBdr>
        <w:top w:val="none" w:sz="0" w:space="0" w:color="auto"/>
        <w:left w:val="none" w:sz="0" w:space="0" w:color="auto"/>
        <w:bottom w:val="none" w:sz="0" w:space="0" w:color="auto"/>
        <w:right w:val="none" w:sz="0" w:space="0" w:color="auto"/>
      </w:divBdr>
    </w:div>
    <w:div w:id="110440725">
      <w:bodyDiv w:val="1"/>
      <w:marLeft w:val="0"/>
      <w:marRight w:val="0"/>
      <w:marTop w:val="0"/>
      <w:marBottom w:val="0"/>
      <w:divBdr>
        <w:top w:val="none" w:sz="0" w:space="0" w:color="auto"/>
        <w:left w:val="none" w:sz="0" w:space="0" w:color="auto"/>
        <w:bottom w:val="none" w:sz="0" w:space="0" w:color="auto"/>
        <w:right w:val="none" w:sz="0" w:space="0" w:color="auto"/>
      </w:divBdr>
    </w:div>
    <w:div w:id="148835533">
      <w:bodyDiv w:val="1"/>
      <w:marLeft w:val="0"/>
      <w:marRight w:val="0"/>
      <w:marTop w:val="0"/>
      <w:marBottom w:val="0"/>
      <w:divBdr>
        <w:top w:val="none" w:sz="0" w:space="0" w:color="auto"/>
        <w:left w:val="none" w:sz="0" w:space="0" w:color="auto"/>
        <w:bottom w:val="none" w:sz="0" w:space="0" w:color="auto"/>
        <w:right w:val="none" w:sz="0" w:space="0" w:color="auto"/>
      </w:divBdr>
    </w:div>
    <w:div w:id="170072960">
      <w:bodyDiv w:val="1"/>
      <w:marLeft w:val="0"/>
      <w:marRight w:val="0"/>
      <w:marTop w:val="0"/>
      <w:marBottom w:val="0"/>
      <w:divBdr>
        <w:top w:val="none" w:sz="0" w:space="0" w:color="auto"/>
        <w:left w:val="none" w:sz="0" w:space="0" w:color="auto"/>
        <w:bottom w:val="none" w:sz="0" w:space="0" w:color="auto"/>
        <w:right w:val="none" w:sz="0" w:space="0" w:color="auto"/>
      </w:divBdr>
    </w:div>
    <w:div w:id="284242034">
      <w:bodyDiv w:val="1"/>
      <w:marLeft w:val="0"/>
      <w:marRight w:val="0"/>
      <w:marTop w:val="0"/>
      <w:marBottom w:val="0"/>
      <w:divBdr>
        <w:top w:val="none" w:sz="0" w:space="0" w:color="auto"/>
        <w:left w:val="none" w:sz="0" w:space="0" w:color="auto"/>
        <w:bottom w:val="none" w:sz="0" w:space="0" w:color="auto"/>
        <w:right w:val="none" w:sz="0" w:space="0" w:color="auto"/>
      </w:divBdr>
    </w:div>
    <w:div w:id="343017523">
      <w:bodyDiv w:val="1"/>
      <w:marLeft w:val="0"/>
      <w:marRight w:val="0"/>
      <w:marTop w:val="0"/>
      <w:marBottom w:val="0"/>
      <w:divBdr>
        <w:top w:val="none" w:sz="0" w:space="0" w:color="auto"/>
        <w:left w:val="none" w:sz="0" w:space="0" w:color="auto"/>
        <w:bottom w:val="none" w:sz="0" w:space="0" w:color="auto"/>
        <w:right w:val="none" w:sz="0" w:space="0" w:color="auto"/>
      </w:divBdr>
    </w:div>
    <w:div w:id="369648882">
      <w:bodyDiv w:val="1"/>
      <w:marLeft w:val="0"/>
      <w:marRight w:val="0"/>
      <w:marTop w:val="0"/>
      <w:marBottom w:val="0"/>
      <w:divBdr>
        <w:top w:val="none" w:sz="0" w:space="0" w:color="auto"/>
        <w:left w:val="none" w:sz="0" w:space="0" w:color="auto"/>
        <w:bottom w:val="none" w:sz="0" w:space="0" w:color="auto"/>
        <w:right w:val="none" w:sz="0" w:space="0" w:color="auto"/>
      </w:divBdr>
    </w:div>
    <w:div w:id="434447597">
      <w:bodyDiv w:val="1"/>
      <w:marLeft w:val="0"/>
      <w:marRight w:val="0"/>
      <w:marTop w:val="0"/>
      <w:marBottom w:val="0"/>
      <w:divBdr>
        <w:top w:val="none" w:sz="0" w:space="0" w:color="auto"/>
        <w:left w:val="none" w:sz="0" w:space="0" w:color="auto"/>
        <w:bottom w:val="none" w:sz="0" w:space="0" w:color="auto"/>
        <w:right w:val="none" w:sz="0" w:space="0" w:color="auto"/>
      </w:divBdr>
    </w:div>
    <w:div w:id="451242258">
      <w:bodyDiv w:val="1"/>
      <w:marLeft w:val="0"/>
      <w:marRight w:val="0"/>
      <w:marTop w:val="0"/>
      <w:marBottom w:val="0"/>
      <w:divBdr>
        <w:top w:val="none" w:sz="0" w:space="0" w:color="auto"/>
        <w:left w:val="none" w:sz="0" w:space="0" w:color="auto"/>
        <w:bottom w:val="none" w:sz="0" w:space="0" w:color="auto"/>
        <w:right w:val="none" w:sz="0" w:space="0" w:color="auto"/>
      </w:divBdr>
    </w:div>
    <w:div w:id="550314496">
      <w:bodyDiv w:val="1"/>
      <w:marLeft w:val="0"/>
      <w:marRight w:val="0"/>
      <w:marTop w:val="0"/>
      <w:marBottom w:val="0"/>
      <w:divBdr>
        <w:top w:val="none" w:sz="0" w:space="0" w:color="auto"/>
        <w:left w:val="none" w:sz="0" w:space="0" w:color="auto"/>
        <w:bottom w:val="none" w:sz="0" w:space="0" w:color="auto"/>
        <w:right w:val="none" w:sz="0" w:space="0" w:color="auto"/>
      </w:divBdr>
    </w:div>
    <w:div w:id="557935259">
      <w:bodyDiv w:val="1"/>
      <w:marLeft w:val="0"/>
      <w:marRight w:val="0"/>
      <w:marTop w:val="0"/>
      <w:marBottom w:val="0"/>
      <w:divBdr>
        <w:top w:val="none" w:sz="0" w:space="0" w:color="auto"/>
        <w:left w:val="none" w:sz="0" w:space="0" w:color="auto"/>
        <w:bottom w:val="none" w:sz="0" w:space="0" w:color="auto"/>
        <w:right w:val="none" w:sz="0" w:space="0" w:color="auto"/>
      </w:divBdr>
    </w:div>
    <w:div w:id="599340438">
      <w:bodyDiv w:val="1"/>
      <w:marLeft w:val="0"/>
      <w:marRight w:val="0"/>
      <w:marTop w:val="0"/>
      <w:marBottom w:val="0"/>
      <w:divBdr>
        <w:top w:val="none" w:sz="0" w:space="0" w:color="auto"/>
        <w:left w:val="none" w:sz="0" w:space="0" w:color="auto"/>
        <w:bottom w:val="none" w:sz="0" w:space="0" w:color="auto"/>
        <w:right w:val="none" w:sz="0" w:space="0" w:color="auto"/>
      </w:divBdr>
    </w:div>
    <w:div w:id="699934406">
      <w:bodyDiv w:val="1"/>
      <w:marLeft w:val="0"/>
      <w:marRight w:val="0"/>
      <w:marTop w:val="0"/>
      <w:marBottom w:val="0"/>
      <w:divBdr>
        <w:top w:val="none" w:sz="0" w:space="0" w:color="auto"/>
        <w:left w:val="none" w:sz="0" w:space="0" w:color="auto"/>
        <w:bottom w:val="none" w:sz="0" w:space="0" w:color="auto"/>
        <w:right w:val="none" w:sz="0" w:space="0" w:color="auto"/>
      </w:divBdr>
    </w:div>
    <w:div w:id="761754265">
      <w:bodyDiv w:val="1"/>
      <w:marLeft w:val="0"/>
      <w:marRight w:val="0"/>
      <w:marTop w:val="0"/>
      <w:marBottom w:val="0"/>
      <w:divBdr>
        <w:top w:val="none" w:sz="0" w:space="0" w:color="auto"/>
        <w:left w:val="none" w:sz="0" w:space="0" w:color="auto"/>
        <w:bottom w:val="none" w:sz="0" w:space="0" w:color="auto"/>
        <w:right w:val="none" w:sz="0" w:space="0" w:color="auto"/>
      </w:divBdr>
    </w:div>
    <w:div w:id="821704295">
      <w:bodyDiv w:val="1"/>
      <w:marLeft w:val="0"/>
      <w:marRight w:val="0"/>
      <w:marTop w:val="0"/>
      <w:marBottom w:val="0"/>
      <w:divBdr>
        <w:top w:val="none" w:sz="0" w:space="0" w:color="auto"/>
        <w:left w:val="none" w:sz="0" w:space="0" w:color="auto"/>
        <w:bottom w:val="none" w:sz="0" w:space="0" w:color="auto"/>
        <w:right w:val="none" w:sz="0" w:space="0" w:color="auto"/>
      </w:divBdr>
    </w:div>
    <w:div w:id="846795658">
      <w:bodyDiv w:val="1"/>
      <w:marLeft w:val="0"/>
      <w:marRight w:val="0"/>
      <w:marTop w:val="0"/>
      <w:marBottom w:val="0"/>
      <w:divBdr>
        <w:top w:val="none" w:sz="0" w:space="0" w:color="auto"/>
        <w:left w:val="none" w:sz="0" w:space="0" w:color="auto"/>
        <w:bottom w:val="none" w:sz="0" w:space="0" w:color="auto"/>
        <w:right w:val="none" w:sz="0" w:space="0" w:color="auto"/>
      </w:divBdr>
    </w:div>
    <w:div w:id="850752726">
      <w:bodyDiv w:val="1"/>
      <w:marLeft w:val="0"/>
      <w:marRight w:val="0"/>
      <w:marTop w:val="0"/>
      <w:marBottom w:val="0"/>
      <w:divBdr>
        <w:top w:val="none" w:sz="0" w:space="0" w:color="auto"/>
        <w:left w:val="none" w:sz="0" w:space="0" w:color="auto"/>
        <w:bottom w:val="none" w:sz="0" w:space="0" w:color="auto"/>
        <w:right w:val="none" w:sz="0" w:space="0" w:color="auto"/>
      </w:divBdr>
    </w:div>
    <w:div w:id="866525779">
      <w:bodyDiv w:val="1"/>
      <w:marLeft w:val="0"/>
      <w:marRight w:val="0"/>
      <w:marTop w:val="0"/>
      <w:marBottom w:val="0"/>
      <w:divBdr>
        <w:top w:val="none" w:sz="0" w:space="0" w:color="auto"/>
        <w:left w:val="none" w:sz="0" w:space="0" w:color="auto"/>
        <w:bottom w:val="none" w:sz="0" w:space="0" w:color="auto"/>
        <w:right w:val="none" w:sz="0" w:space="0" w:color="auto"/>
      </w:divBdr>
    </w:div>
    <w:div w:id="870922156">
      <w:bodyDiv w:val="1"/>
      <w:marLeft w:val="0"/>
      <w:marRight w:val="0"/>
      <w:marTop w:val="0"/>
      <w:marBottom w:val="0"/>
      <w:divBdr>
        <w:top w:val="none" w:sz="0" w:space="0" w:color="auto"/>
        <w:left w:val="none" w:sz="0" w:space="0" w:color="auto"/>
        <w:bottom w:val="none" w:sz="0" w:space="0" w:color="auto"/>
        <w:right w:val="none" w:sz="0" w:space="0" w:color="auto"/>
      </w:divBdr>
    </w:div>
    <w:div w:id="1002857238">
      <w:bodyDiv w:val="1"/>
      <w:marLeft w:val="0"/>
      <w:marRight w:val="0"/>
      <w:marTop w:val="0"/>
      <w:marBottom w:val="0"/>
      <w:divBdr>
        <w:top w:val="none" w:sz="0" w:space="0" w:color="auto"/>
        <w:left w:val="none" w:sz="0" w:space="0" w:color="auto"/>
        <w:bottom w:val="none" w:sz="0" w:space="0" w:color="auto"/>
        <w:right w:val="none" w:sz="0" w:space="0" w:color="auto"/>
      </w:divBdr>
    </w:div>
    <w:div w:id="1152480262">
      <w:bodyDiv w:val="1"/>
      <w:marLeft w:val="0"/>
      <w:marRight w:val="0"/>
      <w:marTop w:val="0"/>
      <w:marBottom w:val="0"/>
      <w:divBdr>
        <w:top w:val="none" w:sz="0" w:space="0" w:color="auto"/>
        <w:left w:val="none" w:sz="0" w:space="0" w:color="auto"/>
        <w:bottom w:val="none" w:sz="0" w:space="0" w:color="auto"/>
        <w:right w:val="none" w:sz="0" w:space="0" w:color="auto"/>
      </w:divBdr>
    </w:div>
    <w:div w:id="1276399663">
      <w:bodyDiv w:val="1"/>
      <w:marLeft w:val="0"/>
      <w:marRight w:val="0"/>
      <w:marTop w:val="0"/>
      <w:marBottom w:val="0"/>
      <w:divBdr>
        <w:top w:val="none" w:sz="0" w:space="0" w:color="auto"/>
        <w:left w:val="none" w:sz="0" w:space="0" w:color="auto"/>
        <w:bottom w:val="none" w:sz="0" w:space="0" w:color="auto"/>
        <w:right w:val="none" w:sz="0" w:space="0" w:color="auto"/>
      </w:divBdr>
    </w:div>
    <w:div w:id="1290748925">
      <w:bodyDiv w:val="1"/>
      <w:marLeft w:val="0"/>
      <w:marRight w:val="0"/>
      <w:marTop w:val="0"/>
      <w:marBottom w:val="0"/>
      <w:divBdr>
        <w:top w:val="none" w:sz="0" w:space="0" w:color="auto"/>
        <w:left w:val="none" w:sz="0" w:space="0" w:color="auto"/>
        <w:bottom w:val="none" w:sz="0" w:space="0" w:color="auto"/>
        <w:right w:val="none" w:sz="0" w:space="0" w:color="auto"/>
      </w:divBdr>
    </w:div>
    <w:div w:id="1319118134">
      <w:bodyDiv w:val="1"/>
      <w:marLeft w:val="0"/>
      <w:marRight w:val="0"/>
      <w:marTop w:val="0"/>
      <w:marBottom w:val="0"/>
      <w:divBdr>
        <w:top w:val="none" w:sz="0" w:space="0" w:color="auto"/>
        <w:left w:val="none" w:sz="0" w:space="0" w:color="auto"/>
        <w:bottom w:val="none" w:sz="0" w:space="0" w:color="auto"/>
        <w:right w:val="none" w:sz="0" w:space="0" w:color="auto"/>
      </w:divBdr>
    </w:div>
    <w:div w:id="1332172231">
      <w:bodyDiv w:val="1"/>
      <w:marLeft w:val="0"/>
      <w:marRight w:val="0"/>
      <w:marTop w:val="0"/>
      <w:marBottom w:val="0"/>
      <w:divBdr>
        <w:top w:val="none" w:sz="0" w:space="0" w:color="auto"/>
        <w:left w:val="none" w:sz="0" w:space="0" w:color="auto"/>
        <w:bottom w:val="none" w:sz="0" w:space="0" w:color="auto"/>
        <w:right w:val="none" w:sz="0" w:space="0" w:color="auto"/>
      </w:divBdr>
    </w:div>
    <w:div w:id="1457137301">
      <w:bodyDiv w:val="1"/>
      <w:marLeft w:val="0"/>
      <w:marRight w:val="0"/>
      <w:marTop w:val="0"/>
      <w:marBottom w:val="0"/>
      <w:divBdr>
        <w:top w:val="none" w:sz="0" w:space="0" w:color="auto"/>
        <w:left w:val="none" w:sz="0" w:space="0" w:color="auto"/>
        <w:bottom w:val="none" w:sz="0" w:space="0" w:color="auto"/>
        <w:right w:val="none" w:sz="0" w:space="0" w:color="auto"/>
      </w:divBdr>
    </w:div>
    <w:div w:id="1528831981">
      <w:bodyDiv w:val="1"/>
      <w:marLeft w:val="0"/>
      <w:marRight w:val="0"/>
      <w:marTop w:val="0"/>
      <w:marBottom w:val="0"/>
      <w:divBdr>
        <w:top w:val="none" w:sz="0" w:space="0" w:color="auto"/>
        <w:left w:val="none" w:sz="0" w:space="0" w:color="auto"/>
        <w:bottom w:val="none" w:sz="0" w:space="0" w:color="auto"/>
        <w:right w:val="none" w:sz="0" w:space="0" w:color="auto"/>
      </w:divBdr>
    </w:div>
    <w:div w:id="1661499659">
      <w:bodyDiv w:val="1"/>
      <w:marLeft w:val="0"/>
      <w:marRight w:val="0"/>
      <w:marTop w:val="0"/>
      <w:marBottom w:val="0"/>
      <w:divBdr>
        <w:top w:val="none" w:sz="0" w:space="0" w:color="auto"/>
        <w:left w:val="none" w:sz="0" w:space="0" w:color="auto"/>
        <w:bottom w:val="none" w:sz="0" w:space="0" w:color="auto"/>
        <w:right w:val="none" w:sz="0" w:space="0" w:color="auto"/>
      </w:divBdr>
    </w:div>
    <w:div w:id="1709406333">
      <w:bodyDiv w:val="1"/>
      <w:marLeft w:val="0"/>
      <w:marRight w:val="0"/>
      <w:marTop w:val="0"/>
      <w:marBottom w:val="0"/>
      <w:divBdr>
        <w:top w:val="none" w:sz="0" w:space="0" w:color="auto"/>
        <w:left w:val="none" w:sz="0" w:space="0" w:color="auto"/>
        <w:bottom w:val="none" w:sz="0" w:space="0" w:color="auto"/>
        <w:right w:val="none" w:sz="0" w:space="0" w:color="auto"/>
      </w:divBdr>
    </w:div>
    <w:div w:id="1733189302">
      <w:bodyDiv w:val="1"/>
      <w:marLeft w:val="0"/>
      <w:marRight w:val="0"/>
      <w:marTop w:val="0"/>
      <w:marBottom w:val="0"/>
      <w:divBdr>
        <w:top w:val="none" w:sz="0" w:space="0" w:color="auto"/>
        <w:left w:val="none" w:sz="0" w:space="0" w:color="auto"/>
        <w:bottom w:val="none" w:sz="0" w:space="0" w:color="auto"/>
        <w:right w:val="none" w:sz="0" w:space="0" w:color="auto"/>
      </w:divBdr>
    </w:div>
    <w:div w:id="1733506612">
      <w:bodyDiv w:val="1"/>
      <w:marLeft w:val="0"/>
      <w:marRight w:val="0"/>
      <w:marTop w:val="0"/>
      <w:marBottom w:val="0"/>
      <w:divBdr>
        <w:top w:val="none" w:sz="0" w:space="0" w:color="auto"/>
        <w:left w:val="none" w:sz="0" w:space="0" w:color="auto"/>
        <w:bottom w:val="none" w:sz="0" w:space="0" w:color="auto"/>
        <w:right w:val="none" w:sz="0" w:space="0" w:color="auto"/>
      </w:divBdr>
    </w:div>
    <w:div w:id="1776826750">
      <w:bodyDiv w:val="1"/>
      <w:marLeft w:val="0"/>
      <w:marRight w:val="0"/>
      <w:marTop w:val="0"/>
      <w:marBottom w:val="0"/>
      <w:divBdr>
        <w:top w:val="none" w:sz="0" w:space="0" w:color="auto"/>
        <w:left w:val="none" w:sz="0" w:space="0" w:color="auto"/>
        <w:bottom w:val="none" w:sz="0" w:space="0" w:color="auto"/>
        <w:right w:val="none" w:sz="0" w:space="0" w:color="auto"/>
      </w:divBdr>
    </w:div>
    <w:div w:id="1857577395">
      <w:bodyDiv w:val="1"/>
      <w:marLeft w:val="0"/>
      <w:marRight w:val="0"/>
      <w:marTop w:val="0"/>
      <w:marBottom w:val="0"/>
      <w:divBdr>
        <w:top w:val="none" w:sz="0" w:space="0" w:color="auto"/>
        <w:left w:val="none" w:sz="0" w:space="0" w:color="auto"/>
        <w:bottom w:val="none" w:sz="0" w:space="0" w:color="auto"/>
        <w:right w:val="none" w:sz="0" w:space="0" w:color="auto"/>
      </w:divBdr>
    </w:div>
    <w:div w:id="1944222712">
      <w:bodyDiv w:val="1"/>
      <w:marLeft w:val="0"/>
      <w:marRight w:val="0"/>
      <w:marTop w:val="0"/>
      <w:marBottom w:val="0"/>
      <w:divBdr>
        <w:top w:val="none" w:sz="0" w:space="0" w:color="auto"/>
        <w:left w:val="none" w:sz="0" w:space="0" w:color="auto"/>
        <w:bottom w:val="none" w:sz="0" w:space="0" w:color="auto"/>
        <w:right w:val="none" w:sz="0" w:space="0" w:color="auto"/>
      </w:divBdr>
    </w:div>
    <w:div w:id="2044867700">
      <w:bodyDiv w:val="1"/>
      <w:marLeft w:val="0"/>
      <w:marRight w:val="0"/>
      <w:marTop w:val="0"/>
      <w:marBottom w:val="0"/>
      <w:divBdr>
        <w:top w:val="none" w:sz="0" w:space="0" w:color="auto"/>
        <w:left w:val="none" w:sz="0" w:space="0" w:color="auto"/>
        <w:bottom w:val="none" w:sz="0" w:space="0" w:color="auto"/>
        <w:right w:val="none" w:sz="0" w:space="0" w:color="auto"/>
      </w:divBdr>
    </w:div>
    <w:div w:id="20972438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chart" Target="charts/chart1.xml"/><Relationship Id="rId4" Type="http://schemas.openxmlformats.org/officeDocument/2006/relationships/webSettings" Target="webSettings.xml"/></Relationships>
</file>

<file path=word/charts/_rels/chart1.xml.rels><?xml version="1.0" encoding="UTF-8" standalone="yes"?>
<Relationships xmlns="http://schemas.openxmlformats.org/package/2006/relationships"><Relationship Id="rId3" Type="http://schemas.openxmlformats.org/officeDocument/2006/relationships/oleObject" Target="file:///D:\NSO\Price%20Section\IPICS%20Data\IPICS%202082-83\Second%20Qtr.%202082-083\Second_Qtr%20IPICS_PSS_preli%202082-83.xlsx" TargetMode="External"/><Relationship Id="rId2" Type="http://schemas.microsoft.com/office/2011/relationships/chartColorStyle" Target="colors1.xml"/><Relationship Id="rId1" Type="http://schemas.microsoft.com/office/2011/relationships/chartStyle" Target="style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lineChart>
        <c:grouping val="standard"/>
        <c:varyColors val="0"/>
        <c:ser>
          <c:idx val="0"/>
          <c:order val="0"/>
          <c:tx>
            <c:strRef>
              <c:f>Graph!$B$8</c:f>
              <c:strCache>
                <c:ptCount val="1"/>
                <c:pt idx="0">
                  <c:v>Overall IPICS</c:v>
                </c:pt>
              </c:strCache>
            </c:strRef>
          </c:tx>
          <c:spPr>
            <a:ln w="22225" cap="rnd">
              <a:solidFill>
                <a:schemeClr val="accent1"/>
              </a:solidFill>
              <a:round/>
            </a:ln>
            <a:effectLst/>
          </c:spPr>
          <c:marker>
            <c:symbol val="diamond"/>
            <c:size val="6"/>
            <c:spPr>
              <a:solidFill>
                <a:schemeClr val="accent1"/>
              </a:solidFill>
              <a:ln w="9525">
                <a:solidFill>
                  <a:schemeClr val="accent1"/>
                </a:solidFill>
                <a:round/>
              </a:ln>
              <a:effectLst/>
            </c:spPr>
          </c:marker>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50000"/>
                        <a:lumOff val="50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strRef>
              <c:f>Graph!$C$7:$N$7</c:f>
              <c:strCache>
                <c:ptCount val="12"/>
                <c:pt idx="0">
                  <c:v>2072/73  (2015/16)</c:v>
                </c:pt>
                <c:pt idx="1">
                  <c:v>2073/74 ( 2016/17)</c:v>
                </c:pt>
                <c:pt idx="2">
                  <c:v>2074/75 (2017/18)</c:v>
                </c:pt>
                <c:pt idx="3">
                  <c:v>2075/76 (2018/19)</c:v>
                </c:pt>
                <c:pt idx="4">
                  <c:v>2076/77 (2019/20)</c:v>
                </c:pt>
                <c:pt idx="5">
                  <c:v>2077/78 (2020/21)</c:v>
                </c:pt>
                <c:pt idx="6">
                  <c:v>2078/79 (2021/22)</c:v>
                </c:pt>
                <c:pt idx="7">
                  <c:v>2079/80 (2022/23)</c:v>
                </c:pt>
                <c:pt idx="8">
                  <c:v>2080/81 (2023/24)</c:v>
                </c:pt>
                <c:pt idx="9">
                  <c:v>2081/82 (2024/25)</c:v>
                </c:pt>
                <c:pt idx="10">
                  <c:v>2082/83 (2025/26) Q1</c:v>
                </c:pt>
                <c:pt idx="11">
                  <c:v>2082/83 (2025/26) Q2*</c:v>
                </c:pt>
              </c:strCache>
            </c:strRef>
          </c:cat>
          <c:val>
            <c:numRef>
              <c:f>Graph!$C$8:$N$8</c:f>
              <c:numCache>
                <c:formatCode>0.0</c:formatCode>
                <c:ptCount val="12"/>
                <c:pt idx="0">
                  <c:v>118.05165749240304</c:v>
                </c:pt>
                <c:pt idx="1">
                  <c:v>125.24614220205497</c:v>
                </c:pt>
                <c:pt idx="2">
                  <c:v>126.7903074195265</c:v>
                </c:pt>
                <c:pt idx="3">
                  <c:v>133.01785525966426</c:v>
                </c:pt>
                <c:pt idx="4">
                  <c:v>134.38837547951746</c:v>
                </c:pt>
                <c:pt idx="5">
                  <c:v>137.4224181311169</c:v>
                </c:pt>
                <c:pt idx="6">
                  <c:v>147.1855173089337</c:v>
                </c:pt>
                <c:pt idx="7">
                  <c:v>151.64969354766569</c:v>
                </c:pt>
                <c:pt idx="8">
                  <c:v>149.55742715613025</c:v>
                </c:pt>
                <c:pt idx="9">
                  <c:v>152.6</c:v>
                </c:pt>
                <c:pt idx="10">
                  <c:v>152.30000000000001</c:v>
                </c:pt>
                <c:pt idx="11">
                  <c:v>152.1</c:v>
                </c:pt>
              </c:numCache>
            </c:numRef>
          </c:val>
          <c:smooth val="0"/>
          <c:extLst>
            <c:ext xmlns:c16="http://schemas.microsoft.com/office/drawing/2014/chart" uri="{C3380CC4-5D6E-409C-BE32-E72D297353CC}">
              <c16:uniqueId val="{00000000-6D54-4A2B-AE19-A92D7C4579A9}"/>
            </c:ext>
          </c:extLst>
        </c:ser>
        <c:ser>
          <c:idx val="1"/>
          <c:order val="1"/>
          <c:tx>
            <c:strRef>
              <c:f>Graph!$B$9</c:f>
              <c:strCache>
                <c:ptCount val="1"/>
                <c:pt idx="0">
                  <c:v>Aggregated Index of Construction Material</c:v>
                </c:pt>
              </c:strCache>
            </c:strRef>
          </c:tx>
          <c:spPr>
            <a:ln w="22225" cap="rnd">
              <a:solidFill>
                <a:schemeClr val="accent2"/>
              </a:solidFill>
              <a:round/>
            </a:ln>
            <a:effectLst/>
          </c:spPr>
          <c:marker>
            <c:symbol val="square"/>
            <c:size val="6"/>
            <c:spPr>
              <a:solidFill>
                <a:schemeClr val="accent2"/>
              </a:solidFill>
              <a:ln w="9525">
                <a:solidFill>
                  <a:schemeClr val="accent2"/>
                </a:solidFill>
                <a:round/>
              </a:ln>
              <a:effectLst/>
            </c:spPr>
          </c:marker>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50000"/>
                        <a:lumOff val="50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strRef>
              <c:f>Graph!$C$7:$N$7</c:f>
              <c:strCache>
                <c:ptCount val="12"/>
                <c:pt idx="0">
                  <c:v>2072/73  (2015/16)</c:v>
                </c:pt>
                <c:pt idx="1">
                  <c:v>2073/74 ( 2016/17)</c:v>
                </c:pt>
                <c:pt idx="2">
                  <c:v>2074/75 (2017/18)</c:v>
                </c:pt>
                <c:pt idx="3">
                  <c:v>2075/76 (2018/19)</c:v>
                </c:pt>
                <c:pt idx="4">
                  <c:v>2076/77 (2019/20)</c:v>
                </c:pt>
                <c:pt idx="5">
                  <c:v>2077/78 (2020/21)</c:v>
                </c:pt>
                <c:pt idx="6">
                  <c:v>2078/79 (2021/22)</c:v>
                </c:pt>
                <c:pt idx="7">
                  <c:v>2079/80 (2022/23)</c:v>
                </c:pt>
                <c:pt idx="8">
                  <c:v>2080/81 (2023/24)</c:v>
                </c:pt>
                <c:pt idx="9">
                  <c:v>2081/82 (2024/25)</c:v>
                </c:pt>
                <c:pt idx="10">
                  <c:v>2082/83 (2025/26) Q1</c:v>
                </c:pt>
                <c:pt idx="11">
                  <c:v>2082/83 (2025/26) Q2*</c:v>
                </c:pt>
              </c:strCache>
            </c:strRef>
          </c:cat>
          <c:val>
            <c:numRef>
              <c:f>Graph!$C$9:$N$9</c:f>
              <c:numCache>
                <c:formatCode>0.0</c:formatCode>
                <c:ptCount val="12"/>
                <c:pt idx="0">
                  <c:v>112.79543827613017</c:v>
                </c:pt>
                <c:pt idx="1">
                  <c:v>118.54098441242861</c:v>
                </c:pt>
                <c:pt idx="2">
                  <c:v>117.86153432608235</c:v>
                </c:pt>
                <c:pt idx="3">
                  <c:v>122.91166020129189</c:v>
                </c:pt>
                <c:pt idx="4">
                  <c:v>120.3505749058953</c:v>
                </c:pt>
                <c:pt idx="5">
                  <c:v>121.81991793767745</c:v>
                </c:pt>
                <c:pt idx="6">
                  <c:v>132.19976308495399</c:v>
                </c:pt>
                <c:pt idx="7">
                  <c:v>136.99268469132534</c:v>
                </c:pt>
                <c:pt idx="8">
                  <c:v>132.1176530673462</c:v>
                </c:pt>
                <c:pt idx="9">
                  <c:v>134</c:v>
                </c:pt>
                <c:pt idx="10">
                  <c:v>132</c:v>
                </c:pt>
                <c:pt idx="11">
                  <c:v>131.6</c:v>
                </c:pt>
              </c:numCache>
            </c:numRef>
          </c:val>
          <c:smooth val="0"/>
          <c:extLst>
            <c:ext xmlns:c16="http://schemas.microsoft.com/office/drawing/2014/chart" uri="{C3380CC4-5D6E-409C-BE32-E72D297353CC}">
              <c16:uniqueId val="{00000001-6D54-4A2B-AE19-A92D7C4579A9}"/>
            </c:ext>
          </c:extLst>
        </c:ser>
        <c:ser>
          <c:idx val="2"/>
          <c:order val="2"/>
          <c:tx>
            <c:strRef>
              <c:f>Graph!$B$10</c:f>
              <c:strCache>
                <c:ptCount val="1"/>
                <c:pt idx="0">
                  <c:v>Aggregated Index of Wage</c:v>
                </c:pt>
              </c:strCache>
            </c:strRef>
          </c:tx>
          <c:spPr>
            <a:ln w="22225" cap="rnd">
              <a:solidFill>
                <a:srgbClr val="00B050"/>
              </a:solidFill>
              <a:round/>
            </a:ln>
            <a:effectLst/>
          </c:spPr>
          <c:marker>
            <c:symbol val="triangle"/>
            <c:size val="6"/>
            <c:spPr>
              <a:solidFill>
                <a:schemeClr val="accent6">
                  <a:lumMod val="60000"/>
                  <a:lumOff val="40000"/>
                </a:schemeClr>
              </a:solidFill>
              <a:ln w="9525">
                <a:solidFill>
                  <a:schemeClr val="accent3"/>
                </a:solidFill>
                <a:round/>
              </a:ln>
              <a:effectLst/>
            </c:spPr>
          </c:marker>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50000"/>
                        <a:lumOff val="50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strRef>
              <c:f>Graph!$C$7:$N$7</c:f>
              <c:strCache>
                <c:ptCount val="12"/>
                <c:pt idx="0">
                  <c:v>2072/73  (2015/16)</c:v>
                </c:pt>
                <c:pt idx="1">
                  <c:v>2073/74 ( 2016/17)</c:v>
                </c:pt>
                <c:pt idx="2">
                  <c:v>2074/75 (2017/18)</c:v>
                </c:pt>
                <c:pt idx="3">
                  <c:v>2075/76 (2018/19)</c:v>
                </c:pt>
                <c:pt idx="4">
                  <c:v>2076/77 (2019/20)</c:v>
                </c:pt>
                <c:pt idx="5">
                  <c:v>2077/78 (2020/21)</c:v>
                </c:pt>
                <c:pt idx="6">
                  <c:v>2078/79 (2021/22)</c:v>
                </c:pt>
                <c:pt idx="7">
                  <c:v>2079/80 (2022/23)</c:v>
                </c:pt>
                <c:pt idx="8">
                  <c:v>2080/81 (2023/24)</c:v>
                </c:pt>
                <c:pt idx="9">
                  <c:v>2081/82 (2024/25)</c:v>
                </c:pt>
                <c:pt idx="10">
                  <c:v>2082/83 (2025/26) Q1</c:v>
                </c:pt>
                <c:pt idx="11">
                  <c:v>2082/83 (2025/26) Q2*</c:v>
                </c:pt>
              </c:strCache>
            </c:strRef>
          </c:cat>
          <c:val>
            <c:numRef>
              <c:f>Graph!$C$10:$N$10</c:f>
              <c:numCache>
                <c:formatCode>0.0</c:formatCode>
                <c:ptCount val="12"/>
                <c:pt idx="0">
                  <c:v>130.61313053468228</c:v>
                </c:pt>
                <c:pt idx="1">
                  <c:v>141.27033285184001</c:v>
                </c:pt>
                <c:pt idx="2">
                  <c:v>148.42302695469616</c:v>
                </c:pt>
                <c:pt idx="3">
                  <c:v>157.16994853475754</c:v>
                </c:pt>
                <c:pt idx="4">
                  <c:v>167.93754031292929</c:v>
                </c:pt>
                <c:pt idx="5">
                  <c:v>174.70974910187903</c:v>
                </c:pt>
                <c:pt idx="6">
                  <c:v>182.99892994590209</c:v>
                </c:pt>
                <c:pt idx="7">
                  <c:v>186.67746047552995</c:v>
                </c:pt>
                <c:pt idx="8">
                  <c:v>191.23553133441072</c:v>
                </c:pt>
                <c:pt idx="9">
                  <c:v>196.9</c:v>
                </c:pt>
                <c:pt idx="10">
                  <c:v>200.7</c:v>
                </c:pt>
                <c:pt idx="11">
                  <c:v>201.1</c:v>
                </c:pt>
              </c:numCache>
            </c:numRef>
          </c:val>
          <c:smooth val="0"/>
          <c:extLst>
            <c:ext xmlns:c16="http://schemas.microsoft.com/office/drawing/2014/chart" uri="{C3380CC4-5D6E-409C-BE32-E72D297353CC}">
              <c16:uniqueId val="{00000002-6D54-4A2B-AE19-A92D7C4579A9}"/>
            </c:ext>
          </c:extLst>
        </c:ser>
        <c:dLbls>
          <c:showLegendKey val="0"/>
          <c:showVal val="0"/>
          <c:showCatName val="0"/>
          <c:showSerName val="0"/>
          <c:showPercent val="0"/>
          <c:showBubbleSize val="0"/>
        </c:dLbls>
        <c:marker val="1"/>
        <c:smooth val="0"/>
        <c:axId val="1269273424"/>
        <c:axId val="1269273904"/>
      </c:lineChart>
      <c:catAx>
        <c:axId val="1269273424"/>
        <c:scaling>
          <c:orientation val="minMax"/>
        </c:scaling>
        <c:delete val="0"/>
        <c:axPos val="b"/>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800" b="0" i="0" u="none" strike="noStrike" kern="1200" cap="all" spc="120" normalizeH="0" baseline="0">
                <a:solidFill>
                  <a:schemeClr val="tx1">
                    <a:lumMod val="65000"/>
                    <a:lumOff val="35000"/>
                  </a:schemeClr>
                </a:solidFill>
                <a:latin typeface="+mn-lt"/>
                <a:ea typeface="+mn-ea"/>
                <a:cs typeface="+mn-cs"/>
              </a:defRPr>
            </a:pPr>
            <a:endParaRPr lang="en-US"/>
          </a:p>
        </c:txPr>
        <c:crossAx val="1269273904"/>
        <c:crosses val="autoZero"/>
        <c:auto val="1"/>
        <c:lblAlgn val="ctr"/>
        <c:lblOffset val="100"/>
        <c:noMultiLvlLbl val="0"/>
      </c:catAx>
      <c:valAx>
        <c:axId val="1269273904"/>
        <c:scaling>
          <c:orientation val="minMax"/>
        </c:scaling>
        <c:delete val="0"/>
        <c:axPos val="l"/>
        <c:numFmt formatCode="0.0" sourceLinked="1"/>
        <c:majorTickMark val="none"/>
        <c:minorTickMark val="none"/>
        <c:tickLblPos val="nextTo"/>
        <c:spPr>
          <a:noFill/>
          <a:ln w="9525" cap="flat" cmpd="sng" algn="ctr">
            <a:solidFill>
              <a:schemeClr val="dk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269273424"/>
        <c:crosses val="autoZero"/>
        <c:crossBetween val="between"/>
      </c:valAx>
      <c:spPr>
        <a:pattFill prst="shingle">
          <a:fgClr>
            <a:srgbClr val="FFCCFF"/>
          </a:fgClr>
          <a:bgClr>
            <a:schemeClr val="bg1"/>
          </a:bgClr>
        </a:pattFill>
        <a:ln>
          <a:noFill/>
        </a:ln>
        <a:effectLst/>
      </c:spPr>
    </c:plotArea>
    <c:legend>
      <c:legendPos val="t"/>
      <c:legendEntry>
        <c:idx val="2"/>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Entry>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accent6">
        <a:lumMod val="40000"/>
        <a:lumOff val="60000"/>
      </a:schemeClr>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39">
  <cs:axisTitle>
    <cs:lnRef idx="0"/>
    <cs:fillRef idx="0"/>
    <cs:effectRef idx="0"/>
    <cs:fontRef idx="minor">
      <a:schemeClr val="tx1">
        <a:lumMod val="65000"/>
        <a:lumOff val="35000"/>
      </a:schemeClr>
    </cs:fontRef>
    <cs:defRPr sz="900" kern="1200" cap="all"/>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800" kern="1200" cap="all" spc="120" normalizeH="0" baseline="0"/>
  </cs:categoryAxis>
  <cs:chartArea mods="allowNoFillOverride allowNoLineOverride">
    <cs:lnRef idx="0"/>
    <cs:fillRef idx="0"/>
    <cs:effectRef idx="0"/>
    <cs:fontRef idx="minor">
      <a:schemeClr val="dk1"/>
    </cs:fontRef>
    <cs:spPr>
      <a:solidFill>
        <a:schemeClr val="lt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50000"/>
        <a:lumOff val="50000"/>
      </a:schemeClr>
    </cs:fontRef>
    <cs:defRPr sz="900" b="0" i="0" u="none" strike="noStrike" kern="1200" baseline="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cs:spPr>
  </cs:dataPoint>
  <cs:dataPoint3D>
    <cs:lnRef idx="0"/>
    <cs:fillRef idx="0">
      <cs:styleClr val="auto"/>
    </cs:fillRef>
    <cs:effectRef idx="0"/>
    <cs:fontRef idx="minor">
      <a:schemeClr val="dk1"/>
    </cs:fontRef>
    <cs:spPr>
      <a:solidFill>
        <a:schemeClr val="phClr"/>
      </a:solidFill>
    </cs:spPr>
  </cs:dataPoint3D>
  <cs:dataPointLine>
    <cs:lnRef idx="0">
      <cs:styleClr val="auto"/>
    </cs:lnRef>
    <cs:fillRef idx="0"/>
    <cs:effectRef idx="0"/>
    <cs:fontRef idx="minor">
      <a:schemeClr val="dk1"/>
    </cs:fontRef>
    <cs:spPr>
      <a:ln w="22225" cap="rnd">
        <a:solidFill>
          <a:schemeClr val="phClr"/>
        </a:solidFill>
        <a:round/>
      </a:ln>
    </cs:spPr>
  </cs:dataPointLine>
  <cs:dataPointMarker>
    <cs:lnRef idx="0">
      <cs:styleClr val="auto"/>
    </cs:lnRef>
    <cs:fillRef idx="0">
      <cs:styleClr val="auto"/>
    </cs:fillRef>
    <cs:effectRef idx="0"/>
    <cs:fontRef idx="minor">
      <a:schemeClr val="dk1"/>
    </cs:fontRef>
    <cs:spPr>
      <a:solidFill>
        <a:schemeClr val="phClr"/>
      </a:solidFill>
      <a:ln w="9525">
        <a:solidFill>
          <a:schemeClr val="phClr"/>
        </a:solidFill>
        <a:round/>
      </a:ln>
    </cs:spPr>
  </cs:dataPointMarker>
  <cs:dataPointMarkerLayout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ln w="9525">
        <a:solidFill>
          <a:schemeClr val="tx1">
            <a:lumMod val="15000"/>
            <a:lumOff val="85000"/>
          </a:schemeClr>
        </a:solidFill>
      </a:ln>
    </cs:spPr>
    <cs:defRPr sz="900" kern="1200"/>
  </cs:dataTable>
  <cs:downBar>
    <cs:lnRef idx="0"/>
    <cs:fillRef idx="0"/>
    <cs:effectRef idx="0"/>
    <cs:fontRef idx="minor">
      <a:schemeClr val="dk1"/>
    </cs:fontRef>
    <cs:spPr>
      <a:solidFill>
        <a:schemeClr val="dk1">
          <a:lumMod val="75000"/>
          <a:lumOff val="25000"/>
        </a:schemeClr>
      </a:solidFill>
      <a:ln w="9525">
        <a:solidFill>
          <a:schemeClr val="tx1">
            <a:lumMod val="15000"/>
            <a:lumOff val="85000"/>
          </a:schemeClr>
        </a:solidFill>
      </a:ln>
    </cs:spPr>
  </cs:downBar>
  <cs:dropLine>
    <cs:lnRef idx="0"/>
    <cs:fillRef idx="0"/>
    <cs:effectRef idx="0"/>
    <cs:fontRef idx="minor">
      <a:schemeClr val="dk1"/>
    </cs:fontRef>
    <cs:spPr>
      <a:ln w="9525">
        <a:solidFill>
          <a:schemeClr val="tx1">
            <a:lumMod val="35000"/>
            <a:lumOff val="65000"/>
          </a:schemeClr>
        </a:solidFill>
      </a:ln>
    </cs:spPr>
  </cs:dropLine>
  <cs:errorBar>
    <cs:lnRef idx="0"/>
    <cs:fillRef idx="0"/>
    <cs:effectRef idx="0"/>
    <cs:fontRef idx="minor">
      <a:schemeClr val="dk1"/>
    </cs:fontRef>
    <cs:spPr>
      <a:ln w="9525">
        <a:solidFill>
          <a:schemeClr val="tx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solidFill>
          <a:schemeClr val="tx1">
            <a:lumMod val="15000"/>
            <a:lumOff val="85000"/>
          </a:schemeClr>
        </a:solidFill>
        <a:round/>
      </a:ln>
    </cs:spPr>
  </cs:gridlineMajor>
  <cs:gridlineMinor>
    <cs:lnRef idx="0"/>
    <cs:fillRef idx="0"/>
    <cs:effectRef idx="0"/>
    <cs:fontRef idx="minor">
      <a:schemeClr val="dk1"/>
    </cs:fontRef>
    <cs:spPr>
      <a:ln>
        <a:solidFill>
          <a:schemeClr val="tx1">
            <a:lumMod val="5000"/>
            <a:lumOff val="95000"/>
          </a:schemeClr>
        </a:solidFill>
      </a:ln>
    </cs:spPr>
  </cs:gridlineMinor>
  <cs:hiLoLine>
    <cs:lnRef idx="0"/>
    <cs:fillRef idx="0"/>
    <cs:effectRef idx="0"/>
    <cs:fontRef idx="minor">
      <a:schemeClr val="dk1"/>
    </cs:fontRef>
    <cs:spPr>
      <a:ln w="9525">
        <a:solidFill>
          <a:schemeClr val="tx1">
            <a:lumMod val="50000"/>
            <a:lumOff val="50000"/>
          </a:schemeClr>
        </a:solidFill>
      </a:ln>
    </cs:spPr>
  </cs:hiLoLine>
  <cs:leaderLine>
    <cs:lnRef idx="0"/>
    <cs:fillRef idx="0"/>
    <cs:effectRef idx="0"/>
    <cs:fontRef idx="minor">
      <a:schemeClr val="dk1"/>
    </cs:fontRef>
    <cs:spPr>
      <a:ln w="9525">
        <a:solidFill>
          <a:schemeClr val="tx1">
            <a:lumMod val="35000"/>
            <a:lumOff val="65000"/>
          </a:schemeClr>
        </a:solidFill>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seriesAxis>
  <cs:seriesLine>
    <cs:lnRef idx="0"/>
    <cs:fillRef idx="0"/>
    <cs:effectRef idx="0"/>
    <cs:fontRef idx="minor">
      <a:schemeClr val="dk1"/>
    </cs:fontRef>
    <cs:spPr>
      <a:ln w="9525">
        <a:solidFill>
          <a:schemeClr val="tx1">
            <a:lumMod val="35000"/>
            <a:lumOff val="65000"/>
          </a:schemeClr>
        </a:solidFill>
        <a:round/>
      </a:ln>
    </cs:spPr>
  </cs:seriesLine>
  <cs:title>
    <cs:lnRef idx="0"/>
    <cs:fillRef idx="0"/>
    <cs:effectRef idx="0"/>
    <cs:fontRef idx="minor">
      <a:schemeClr val="tx1">
        <a:lumMod val="65000"/>
        <a:lumOff val="35000"/>
      </a:schemeClr>
    </cs:fontRef>
    <cs:defRPr sz="1600" b="1" kern="1200" cap="all" spc="120" normalizeH="0" baseline="0"/>
  </cs:title>
  <cs:trendline>
    <cs:lnRef idx="0">
      <cs:styleClr val="auto"/>
    </cs:lnRef>
    <cs:fillRef idx="0"/>
    <cs:effectRef idx="0"/>
    <cs:fontRef idx="minor">
      <a:schemeClr val="dk1"/>
    </cs:fontRef>
    <cs:spPr>
      <a:ln w="19050" cap="rnd">
        <a:solidFill>
          <a:schemeClr val="phClr"/>
        </a:solidFill>
        <a:prstDash val="sysDash"/>
      </a:ln>
    </cs:spPr>
  </cs:trendline>
  <cs:trendlineLabel>
    <cs:lnRef idx="0"/>
    <cs:fillRef idx="0"/>
    <cs:effectRef idx="0"/>
    <cs:fontRef idx="minor">
      <a:schemeClr val="tx1">
        <a:lumMod val="65000"/>
        <a:lumOff val="35000"/>
      </a:schemeClr>
    </cs:fontRef>
    <cs:defRPr sz="800" kern="1200"/>
  </cs:trendlineLabel>
  <cs:upBar>
    <cs:lnRef idx="0"/>
    <cs:fillRef idx="0"/>
    <cs:effectRef idx="0"/>
    <cs:fontRef idx="minor">
      <a:schemeClr val="dk1"/>
    </cs:fontRef>
    <cs:spPr>
      <a:solidFill>
        <a:schemeClr val="lt1"/>
      </a:solidFill>
      <a:ln w="9525">
        <a:solidFill>
          <a:schemeClr val="tx1">
            <a:lumMod val="65000"/>
            <a:lumOff val="35000"/>
          </a:schemeClr>
        </a:solidFill>
      </a:ln>
    </cs:spPr>
  </cs:upBar>
  <cs:valueAxis>
    <cs:lnRef idx="0"/>
    <cs:fillRef idx="0"/>
    <cs:effectRef idx="0"/>
    <cs:fontRef idx="minor">
      <a:schemeClr val="tx1">
        <a:lumMod val="65000"/>
        <a:lumOff val="35000"/>
      </a:schemeClr>
    </cs:fontRef>
    <cs:spPr>
      <a:ln w="9525" cap="flat" cmpd="sng" algn="ctr">
        <a:solidFill>
          <a:schemeClr val="dk1">
            <a:lumMod val="15000"/>
            <a:lumOff val="85000"/>
          </a:schemeClr>
        </a:solidFill>
        <a:round/>
      </a:ln>
    </cs:spPr>
    <cs:defRPr sz="900" kern="1200"/>
  </cs:valueAxis>
  <cs:wall>
    <cs:lnRef idx="0"/>
    <cs:fillRef idx="0"/>
    <cs:effectRef idx="0"/>
    <cs:fontRef idx="minor">
      <a:schemeClr val="dk1"/>
    </cs:fontRef>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6</Pages>
  <Words>840</Words>
  <Characters>4791</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Gyanendra Bajracharya</cp:lastModifiedBy>
  <cp:revision>2</cp:revision>
  <cp:lastPrinted>2026-04-06T11:33:00Z</cp:lastPrinted>
  <dcterms:created xsi:type="dcterms:W3CDTF">2026-04-06T11:34:00Z</dcterms:created>
  <dcterms:modified xsi:type="dcterms:W3CDTF">2026-04-06T11:34:00Z</dcterms:modified>
</cp:coreProperties>
</file>