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4AC" w:rsidRDefault="003014AC">
      <w:pPr>
        <w:spacing w:before="1440" w:after="240"/>
      </w:pPr>
    </w:p>
    <w:p w:rsidR="003014AC" w:rsidRDefault="005C4E9D">
      <w:pPr>
        <w:spacing w:after="80"/>
      </w:pPr>
      <w:r>
        <w:rPr>
          <w:b/>
          <w:color w:val="808080"/>
        </w:rPr>
        <w:t xml:space="preserve">BUDHIGANGA </w:t>
      </w:r>
      <w:r w:rsidR="00E31389">
        <w:rPr>
          <w:b/>
          <w:color w:val="808080"/>
        </w:rPr>
        <w:t>HYDROPOWER CONSTRUCTION PROGRESS REPORT</w:t>
      </w:r>
    </w:p>
    <w:tbl>
      <w:tblPr>
        <w:tblW w:w="0" w:type="auto"/>
        <w:tblLayout w:type="fixed"/>
        <w:tblLook w:val="04A0" w:firstRow="1" w:lastRow="0" w:firstColumn="1" w:lastColumn="0" w:noHBand="0" w:noVBand="1"/>
      </w:tblPr>
      <w:tblGrid>
        <w:gridCol w:w="9360"/>
      </w:tblGrid>
      <w:tr w:rsidR="003014AC">
        <w:tc>
          <w:tcPr>
            <w:tcW w:w="9360" w:type="dxa"/>
            <w:shd w:val="clear" w:color="auto" w:fill="2F5496"/>
            <w:tcMar>
              <w:top w:w="10" w:type="dxa"/>
              <w:left w:w="0" w:type="dxa"/>
              <w:bottom w:w="10" w:type="dxa"/>
              <w:right w:w="0" w:type="dxa"/>
            </w:tcMar>
          </w:tcPr>
          <w:p w:rsidR="003014AC" w:rsidRDefault="003014AC"/>
        </w:tc>
      </w:tr>
    </w:tbl>
    <w:p w:rsidR="003014AC" w:rsidRDefault="003014AC">
      <w:pPr>
        <w:spacing w:before="120" w:after="240"/>
      </w:pPr>
    </w:p>
    <w:p w:rsidR="003014AC" w:rsidRDefault="005C4E9D">
      <w:r>
        <w:rPr>
          <w:b/>
          <w:color w:val="2F5496"/>
          <w:sz w:val="56"/>
        </w:rPr>
        <w:t>Budhig</w:t>
      </w:r>
      <w:r w:rsidR="00E31389">
        <w:rPr>
          <w:b/>
          <w:color w:val="2F5496"/>
          <w:sz w:val="56"/>
        </w:rPr>
        <w:t>anga Hydropower Project</w:t>
      </w:r>
      <w:r w:rsidR="00E31389">
        <w:rPr>
          <w:b/>
          <w:color w:val="2F5496"/>
          <w:sz w:val="56"/>
        </w:rPr>
        <w:br/>
        <w:t>(20 MW)</w:t>
      </w:r>
    </w:p>
    <w:p w:rsidR="003014AC" w:rsidRDefault="00E31389">
      <w:pPr>
        <w:spacing w:after="2880"/>
      </w:pPr>
      <w:r>
        <w:rPr>
          <w:color w:val="646464"/>
          <w:sz w:val="28"/>
        </w:rPr>
        <w:t>Comprehensive Technical, Engineering, &amp; Construction Progress Assessment</w:t>
      </w:r>
    </w:p>
    <w:p w:rsidR="003014AC" w:rsidRDefault="00622B79">
      <w:pPr>
        <w:spacing w:after="80"/>
      </w:pPr>
      <w:r>
        <w:rPr>
          <w:b/>
          <w:color w:val="808080"/>
          <w:sz w:val="19"/>
        </w:rPr>
        <w:t>.</w:t>
      </w:r>
      <w:r w:rsidR="00E31389">
        <w:rPr>
          <w:b/>
          <w:sz w:val="22"/>
        </w:rPr>
        <w:br/>
      </w:r>
      <w:r w:rsidR="00E31389">
        <w:rPr>
          <w:b/>
          <w:sz w:val="22"/>
        </w:rPr>
        <w:br/>
      </w:r>
      <w:r w:rsidR="00E31389">
        <w:rPr>
          <w:b/>
          <w:color w:val="808080"/>
          <w:sz w:val="19"/>
        </w:rPr>
        <w:t>EMPLOYER:</w:t>
      </w:r>
      <w:r w:rsidR="00E31389">
        <w:rPr>
          <w:b/>
          <w:color w:val="808080"/>
          <w:sz w:val="19"/>
        </w:rPr>
        <w:br/>
      </w:r>
      <w:r w:rsidR="005C4E9D">
        <w:rPr>
          <w:sz w:val="22"/>
        </w:rPr>
        <w:t>Budhiganga Hydropower Project</w:t>
      </w:r>
      <w:r w:rsidR="00E31389">
        <w:rPr>
          <w:sz w:val="22"/>
        </w:rPr>
        <w:br/>
      </w:r>
      <w:r w:rsidR="00E31389">
        <w:rPr>
          <w:sz w:val="22"/>
        </w:rPr>
        <w:br/>
      </w:r>
      <w:r w:rsidR="00E31389">
        <w:rPr>
          <w:b/>
          <w:color w:val="808080"/>
          <w:sz w:val="19"/>
        </w:rPr>
        <w:t>REPORTING PERIOD COVERAGE:</w:t>
      </w:r>
      <w:r w:rsidR="00E31389">
        <w:rPr>
          <w:b/>
          <w:color w:val="808080"/>
          <w:sz w:val="19"/>
        </w:rPr>
        <w:br/>
      </w:r>
      <w:r w:rsidR="005C4E9D">
        <w:rPr>
          <w:sz w:val="22"/>
        </w:rPr>
        <w:t>Upto</w:t>
      </w:r>
      <w:r w:rsidR="00E31389">
        <w:rPr>
          <w:sz w:val="22"/>
        </w:rPr>
        <w:t xml:space="preserve"> 2083/03/20 (June 2026)</w:t>
      </w:r>
      <w:r w:rsidR="00E31389">
        <w:rPr>
          <w:sz w:val="22"/>
        </w:rPr>
        <w:br/>
      </w:r>
    </w:p>
    <w:p w:rsidR="005C4E9D" w:rsidRDefault="005C4E9D">
      <w:pPr>
        <w:spacing w:after="80"/>
      </w:pPr>
      <w:r>
        <w:rPr>
          <w:b/>
          <w:color w:val="808080"/>
          <w:sz w:val="19"/>
        </w:rPr>
        <w:t>SOURCE:</w:t>
      </w:r>
      <w:r>
        <w:rPr>
          <w:b/>
          <w:color w:val="808080"/>
          <w:sz w:val="19"/>
        </w:rPr>
        <w:br/>
      </w:r>
      <w:r>
        <w:rPr>
          <w:sz w:val="22"/>
        </w:rPr>
        <w:t>Owner’s Engineers Monthly Report</w:t>
      </w:r>
    </w:p>
    <w:p w:rsidR="003014AC" w:rsidRDefault="00E31389">
      <w:r>
        <w:br w:type="page"/>
      </w:r>
      <w:bookmarkStart w:id="0" w:name="_GoBack"/>
      <w:bookmarkEnd w:id="0"/>
    </w:p>
    <w:p w:rsidR="003014AC" w:rsidRDefault="00E31389">
      <w:pPr>
        <w:pStyle w:val="Heading1"/>
      </w:pPr>
      <w:r>
        <w:lastRenderedPageBreak/>
        <w:t>1. Executive Summary &amp; Temporal/Financial Status</w:t>
      </w:r>
    </w:p>
    <w:p w:rsidR="003014AC" w:rsidRDefault="00E31389">
      <w:r>
        <w:t>As of June 2026, the Budhi Ganga Hydropower Project (BHP) has transitioned into a pivotal operational phase, marking the shift from preliminary mobilization to active site preparation and rigorous engineering validation. Situated within a 42-month construction cycle, this reporting period is strategically critical as the project moves into the high-intensity phase where geotechnical certainties and infrastructure readiness dictate the trajectory for the primary civil works.</w:t>
      </w:r>
    </w:p>
    <w:p w:rsidR="003014AC" w:rsidRDefault="00E31389">
      <w:r>
        <w:t>The project’s temporal and financial standing remains under close management oversight. To date, 9.5 months of the construction period have elapsed, representing 22.62% of the overall schedule, with a non-negotiable target completion date of March 17, 2029. Current progress metrics show a physical completion rate of 6.00% against a financial progress rate of 10.00%. This progress discrepancy is expected during early-stage works where substantial upfront financial expenditures are allocated to mobilization and camp set up, preceding the heavy-volume civil excavation and concrete pouring works. This financial standing reflects the strategic utilization of the first advance payment installment of NRs. 61.30 Crore, which has been directly channeled toward site mobilization, camp establishment, and the vital procurement of long-lead plants.</w:t>
      </w:r>
    </w:p>
    <w:p w:rsidR="003014AC" w:rsidRDefault="00E31389">
      <w:pPr>
        <w:pStyle w:val="Heading2"/>
      </w:pPr>
      <w:r>
        <w:t>Key Progress Metrics Summary</w:t>
      </w:r>
    </w:p>
    <w:p w:rsidR="003014AC" w:rsidRDefault="00E31389">
      <w:pPr>
        <w:spacing w:after="120"/>
      </w:pPr>
      <w:r>
        <w:t>The table below consolidates the current temporal, physical, and financial standings of the project as of the reporting date:</w:t>
      </w:r>
    </w:p>
    <w:tbl>
      <w:tblPr>
        <w:tblW w:w="0" w:type="auto"/>
        <w:jc w:val="center"/>
        <w:tblBorders>
          <w:top w:val="single" w:sz="4" w:space="0" w:color="D3D3D3"/>
          <w:bottom w:val="single" w:sz="8" w:space="0" w:color="2F5496"/>
          <w:insideH w:val="single" w:sz="4" w:space="0" w:color="E0E0E0"/>
        </w:tblBorders>
        <w:tblLayout w:type="fixed"/>
        <w:tblLook w:val="04A0" w:firstRow="1" w:lastRow="0" w:firstColumn="1" w:lastColumn="0" w:noHBand="0" w:noVBand="1"/>
      </w:tblPr>
      <w:tblGrid>
        <w:gridCol w:w="3600"/>
        <w:gridCol w:w="2592"/>
        <w:gridCol w:w="3168"/>
      </w:tblGrid>
      <w:tr w:rsidR="003014AC">
        <w:trPr>
          <w:jc w:val="center"/>
        </w:trPr>
        <w:tc>
          <w:tcPr>
            <w:tcW w:w="3600" w:type="dxa"/>
            <w:shd w:val="clear" w:color="auto" w:fill="2F5496"/>
            <w:tcMar>
              <w:top w:w="120" w:type="dxa"/>
              <w:left w:w="120" w:type="dxa"/>
              <w:bottom w:w="120" w:type="dxa"/>
              <w:right w:w="120" w:type="dxa"/>
            </w:tcMar>
          </w:tcPr>
          <w:p w:rsidR="003014AC" w:rsidRDefault="00E31389">
            <w:pPr>
              <w:spacing w:after="0"/>
            </w:pPr>
            <w:r>
              <w:rPr>
                <w:b/>
                <w:color w:val="FFFFFF"/>
              </w:rPr>
              <w:t>Parameter Description</w:t>
            </w:r>
          </w:p>
        </w:tc>
        <w:tc>
          <w:tcPr>
            <w:tcW w:w="2592" w:type="dxa"/>
            <w:shd w:val="clear" w:color="auto" w:fill="2F5496"/>
            <w:tcMar>
              <w:top w:w="120" w:type="dxa"/>
              <w:left w:w="120" w:type="dxa"/>
              <w:bottom w:w="120" w:type="dxa"/>
              <w:right w:w="120" w:type="dxa"/>
            </w:tcMar>
          </w:tcPr>
          <w:p w:rsidR="003014AC" w:rsidRDefault="00E31389">
            <w:pPr>
              <w:spacing w:after="0"/>
              <w:jc w:val="right"/>
            </w:pPr>
            <w:r>
              <w:rPr>
                <w:b/>
                <w:color w:val="FFFFFF"/>
              </w:rPr>
              <w:t>Status / Value</w:t>
            </w:r>
          </w:p>
        </w:tc>
        <w:tc>
          <w:tcPr>
            <w:tcW w:w="3168" w:type="dxa"/>
            <w:shd w:val="clear" w:color="auto" w:fill="2F5496"/>
            <w:tcMar>
              <w:top w:w="120" w:type="dxa"/>
              <w:left w:w="120" w:type="dxa"/>
              <w:bottom w:w="120" w:type="dxa"/>
              <w:right w:w="120" w:type="dxa"/>
            </w:tcMar>
          </w:tcPr>
          <w:p w:rsidR="003014AC" w:rsidRDefault="00E31389">
            <w:pPr>
              <w:spacing w:after="0"/>
            </w:pPr>
            <w:r>
              <w:rPr>
                <w:b/>
                <w:color w:val="FFFFFF"/>
              </w:rPr>
              <w:t>Strategic Reference</w:t>
            </w:r>
          </w:p>
        </w:tc>
      </w:tr>
      <w:tr w:rsidR="003014AC">
        <w:trPr>
          <w:jc w:val="center"/>
        </w:trPr>
        <w:tc>
          <w:tcPr>
            <w:tcW w:w="3600" w:type="dxa"/>
            <w:shd w:val="clear" w:color="auto" w:fill="F9FBFD"/>
            <w:tcMar>
              <w:top w:w="100" w:type="dxa"/>
              <w:left w:w="120" w:type="dxa"/>
              <w:bottom w:w="100" w:type="dxa"/>
              <w:right w:w="120" w:type="dxa"/>
            </w:tcMar>
          </w:tcPr>
          <w:p w:rsidR="003014AC" w:rsidRDefault="00E31389">
            <w:pPr>
              <w:spacing w:after="0"/>
            </w:pPr>
            <w:r>
              <w:rPr>
                <w:sz w:val="19"/>
              </w:rPr>
              <w:t>Total Construction Cycle</w:t>
            </w:r>
          </w:p>
        </w:tc>
        <w:tc>
          <w:tcPr>
            <w:tcW w:w="2592" w:type="dxa"/>
            <w:shd w:val="clear" w:color="auto" w:fill="F9FBFD"/>
            <w:tcMar>
              <w:top w:w="100" w:type="dxa"/>
              <w:left w:w="120" w:type="dxa"/>
              <w:bottom w:w="100" w:type="dxa"/>
              <w:right w:w="120" w:type="dxa"/>
            </w:tcMar>
          </w:tcPr>
          <w:p w:rsidR="003014AC" w:rsidRDefault="00E31389">
            <w:pPr>
              <w:spacing w:after="0"/>
              <w:jc w:val="right"/>
            </w:pPr>
            <w:r>
              <w:rPr>
                <w:b/>
                <w:sz w:val="19"/>
              </w:rPr>
              <w:t>42 Months</w:t>
            </w:r>
          </w:p>
        </w:tc>
        <w:tc>
          <w:tcPr>
            <w:tcW w:w="3168" w:type="dxa"/>
            <w:shd w:val="clear" w:color="auto" w:fill="F9FBFD"/>
            <w:tcMar>
              <w:top w:w="100" w:type="dxa"/>
              <w:left w:w="120" w:type="dxa"/>
              <w:bottom w:w="100" w:type="dxa"/>
              <w:right w:w="120" w:type="dxa"/>
            </w:tcMar>
          </w:tcPr>
          <w:p w:rsidR="003014AC" w:rsidRDefault="00E31389">
            <w:pPr>
              <w:spacing w:after="0"/>
            </w:pPr>
            <w:r>
              <w:rPr>
                <w:sz w:val="19"/>
              </w:rPr>
              <w:t>Scheduled contractual duration</w:t>
            </w:r>
          </w:p>
        </w:tc>
      </w:tr>
      <w:tr w:rsidR="003014AC">
        <w:trPr>
          <w:jc w:val="center"/>
        </w:trPr>
        <w:tc>
          <w:tcPr>
            <w:tcW w:w="3600" w:type="dxa"/>
            <w:shd w:val="clear" w:color="auto" w:fill="FFFFFF"/>
            <w:tcMar>
              <w:top w:w="100" w:type="dxa"/>
              <w:left w:w="120" w:type="dxa"/>
              <w:bottom w:w="100" w:type="dxa"/>
              <w:right w:w="120" w:type="dxa"/>
            </w:tcMar>
          </w:tcPr>
          <w:p w:rsidR="003014AC" w:rsidRDefault="00E31389">
            <w:pPr>
              <w:spacing w:after="0"/>
            </w:pPr>
            <w:r>
              <w:rPr>
                <w:sz w:val="19"/>
              </w:rPr>
              <w:t>Elapsed Construction Period</w:t>
            </w:r>
          </w:p>
        </w:tc>
        <w:tc>
          <w:tcPr>
            <w:tcW w:w="2592" w:type="dxa"/>
            <w:shd w:val="clear" w:color="auto" w:fill="FFFFFF"/>
            <w:tcMar>
              <w:top w:w="100" w:type="dxa"/>
              <w:left w:w="120" w:type="dxa"/>
              <w:bottom w:w="100" w:type="dxa"/>
              <w:right w:w="120" w:type="dxa"/>
            </w:tcMar>
          </w:tcPr>
          <w:p w:rsidR="003014AC" w:rsidRDefault="00E31389">
            <w:pPr>
              <w:spacing w:after="0"/>
              <w:jc w:val="right"/>
            </w:pPr>
            <w:r>
              <w:rPr>
                <w:b/>
                <w:sz w:val="19"/>
              </w:rPr>
              <w:t>9.5 Months (22.62%)</w:t>
            </w:r>
          </w:p>
        </w:tc>
        <w:tc>
          <w:tcPr>
            <w:tcW w:w="3168" w:type="dxa"/>
            <w:shd w:val="clear" w:color="auto" w:fill="FFFFFF"/>
            <w:tcMar>
              <w:top w:w="100" w:type="dxa"/>
              <w:left w:w="120" w:type="dxa"/>
              <w:bottom w:w="100" w:type="dxa"/>
              <w:right w:w="120" w:type="dxa"/>
            </w:tcMar>
          </w:tcPr>
          <w:p w:rsidR="003014AC" w:rsidRDefault="00E31389">
            <w:pPr>
              <w:spacing w:after="0"/>
            </w:pPr>
            <w:r>
              <w:rPr>
                <w:sz w:val="19"/>
              </w:rPr>
              <w:t>Timeline elapsed since commencement</w:t>
            </w:r>
          </w:p>
        </w:tc>
      </w:tr>
      <w:tr w:rsidR="003014AC">
        <w:trPr>
          <w:jc w:val="center"/>
        </w:trPr>
        <w:tc>
          <w:tcPr>
            <w:tcW w:w="3600" w:type="dxa"/>
            <w:shd w:val="clear" w:color="auto" w:fill="F9FBFD"/>
            <w:tcMar>
              <w:top w:w="100" w:type="dxa"/>
              <w:left w:w="120" w:type="dxa"/>
              <w:bottom w:w="100" w:type="dxa"/>
              <w:right w:w="120" w:type="dxa"/>
            </w:tcMar>
          </w:tcPr>
          <w:p w:rsidR="003014AC" w:rsidRDefault="00E31389">
            <w:pPr>
              <w:spacing w:after="0"/>
            </w:pPr>
            <w:r>
              <w:rPr>
                <w:sz w:val="19"/>
              </w:rPr>
              <w:t>Target Completion Date</w:t>
            </w:r>
          </w:p>
        </w:tc>
        <w:tc>
          <w:tcPr>
            <w:tcW w:w="2592" w:type="dxa"/>
            <w:shd w:val="clear" w:color="auto" w:fill="F9FBFD"/>
            <w:tcMar>
              <w:top w:w="100" w:type="dxa"/>
              <w:left w:w="120" w:type="dxa"/>
              <w:bottom w:w="100" w:type="dxa"/>
              <w:right w:w="120" w:type="dxa"/>
            </w:tcMar>
          </w:tcPr>
          <w:p w:rsidR="003014AC" w:rsidRDefault="00E31389">
            <w:pPr>
              <w:spacing w:after="0"/>
              <w:jc w:val="right"/>
            </w:pPr>
            <w:r>
              <w:rPr>
                <w:b/>
                <w:sz w:val="19"/>
              </w:rPr>
              <w:t>March 17, 2029</w:t>
            </w:r>
          </w:p>
        </w:tc>
        <w:tc>
          <w:tcPr>
            <w:tcW w:w="3168" w:type="dxa"/>
            <w:shd w:val="clear" w:color="auto" w:fill="F9FBFD"/>
            <w:tcMar>
              <w:top w:w="100" w:type="dxa"/>
              <w:left w:w="120" w:type="dxa"/>
              <w:bottom w:w="100" w:type="dxa"/>
              <w:right w:w="120" w:type="dxa"/>
            </w:tcMar>
          </w:tcPr>
          <w:p w:rsidR="003014AC" w:rsidRDefault="00E31389">
            <w:pPr>
              <w:spacing w:after="0"/>
            </w:pPr>
            <w:r>
              <w:rPr>
                <w:sz w:val="19"/>
              </w:rPr>
              <w:t>Non-negotiable contractual deadline</w:t>
            </w:r>
          </w:p>
        </w:tc>
      </w:tr>
      <w:tr w:rsidR="003014AC">
        <w:trPr>
          <w:jc w:val="center"/>
        </w:trPr>
        <w:tc>
          <w:tcPr>
            <w:tcW w:w="3600" w:type="dxa"/>
            <w:shd w:val="clear" w:color="auto" w:fill="FFFFFF"/>
            <w:tcMar>
              <w:top w:w="100" w:type="dxa"/>
              <w:left w:w="120" w:type="dxa"/>
              <w:bottom w:w="100" w:type="dxa"/>
              <w:right w:w="120" w:type="dxa"/>
            </w:tcMar>
          </w:tcPr>
          <w:p w:rsidR="003014AC" w:rsidRDefault="00E31389">
            <w:pPr>
              <w:spacing w:after="0"/>
            </w:pPr>
            <w:r>
              <w:rPr>
                <w:sz w:val="19"/>
              </w:rPr>
              <w:t>Physical Progress Rate</w:t>
            </w:r>
          </w:p>
        </w:tc>
        <w:tc>
          <w:tcPr>
            <w:tcW w:w="2592" w:type="dxa"/>
            <w:shd w:val="clear" w:color="auto" w:fill="FFFFFF"/>
            <w:tcMar>
              <w:top w:w="100" w:type="dxa"/>
              <w:left w:w="120" w:type="dxa"/>
              <w:bottom w:w="100" w:type="dxa"/>
              <w:right w:w="120" w:type="dxa"/>
            </w:tcMar>
          </w:tcPr>
          <w:p w:rsidR="003014AC" w:rsidRDefault="00E31389">
            <w:pPr>
              <w:spacing w:after="0"/>
              <w:jc w:val="right"/>
            </w:pPr>
            <w:r>
              <w:rPr>
                <w:b/>
                <w:sz w:val="19"/>
              </w:rPr>
              <w:t>6.00%</w:t>
            </w:r>
          </w:p>
        </w:tc>
        <w:tc>
          <w:tcPr>
            <w:tcW w:w="3168" w:type="dxa"/>
            <w:shd w:val="clear" w:color="auto" w:fill="FFFFFF"/>
            <w:tcMar>
              <w:top w:w="100" w:type="dxa"/>
              <w:left w:w="120" w:type="dxa"/>
              <w:bottom w:w="100" w:type="dxa"/>
              <w:right w:w="120" w:type="dxa"/>
            </w:tcMar>
          </w:tcPr>
          <w:p w:rsidR="003014AC" w:rsidRDefault="00E31389">
            <w:pPr>
              <w:spacing w:after="0"/>
            </w:pPr>
            <w:r>
              <w:rPr>
                <w:sz w:val="19"/>
              </w:rPr>
              <w:t>Reflects initial mobilization and setup</w:t>
            </w:r>
          </w:p>
        </w:tc>
      </w:tr>
      <w:tr w:rsidR="003014AC">
        <w:trPr>
          <w:jc w:val="center"/>
        </w:trPr>
        <w:tc>
          <w:tcPr>
            <w:tcW w:w="3600" w:type="dxa"/>
            <w:shd w:val="clear" w:color="auto" w:fill="F9FBFD"/>
            <w:tcMar>
              <w:top w:w="100" w:type="dxa"/>
              <w:left w:w="120" w:type="dxa"/>
              <w:bottom w:w="100" w:type="dxa"/>
              <w:right w:w="120" w:type="dxa"/>
            </w:tcMar>
          </w:tcPr>
          <w:p w:rsidR="003014AC" w:rsidRDefault="00E31389">
            <w:pPr>
              <w:spacing w:after="0"/>
            </w:pPr>
            <w:r>
              <w:rPr>
                <w:sz w:val="19"/>
              </w:rPr>
              <w:t>Financial Progress Rate</w:t>
            </w:r>
          </w:p>
        </w:tc>
        <w:tc>
          <w:tcPr>
            <w:tcW w:w="2592" w:type="dxa"/>
            <w:shd w:val="clear" w:color="auto" w:fill="F9FBFD"/>
            <w:tcMar>
              <w:top w:w="100" w:type="dxa"/>
              <w:left w:w="120" w:type="dxa"/>
              <w:bottom w:w="100" w:type="dxa"/>
              <w:right w:w="120" w:type="dxa"/>
            </w:tcMar>
          </w:tcPr>
          <w:p w:rsidR="003014AC" w:rsidRDefault="00E31389">
            <w:pPr>
              <w:spacing w:after="0"/>
              <w:jc w:val="right"/>
            </w:pPr>
            <w:r>
              <w:rPr>
                <w:b/>
                <w:sz w:val="19"/>
              </w:rPr>
              <w:t>10.00%</w:t>
            </w:r>
          </w:p>
        </w:tc>
        <w:tc>
          <w:tcPr>
            <w:tcW w:w="3168" w:type="dxa"/>
            <w:shd w:val="clear" w:color="auto" w:fill="F9FBFD"/>
            <w:tcMar>
              <w:top w:w="100" w:type="dxa"/>
              <w:left w:w="120" w:type="dxa"/>
              <w:bottom w:w="100" w:type="dxa"/>
              <w:right w:w="120" w:type="dxa"/>
            </w:tcMar>
          </w:tcPr>
          <w:p w:rsidR="003014AC" w:rsidRDefault="00E31389">
            <w:pPr>
              <w:spacing w:after="0"/>
            </w:pPr>
            <w:r>
              <w:rPr>
                <w:sz w:val="19"/>
              </w:rPr>
              <w:t>Precedes volume-driven civil disbursements</w:t>
            </w:r>
          </w:p>
        </w:tc>
      </w:tr>
      <w:tr w:rsidR="003014AC">
        <w:trPr>
          <w:jc w:val="center"/>
        </w:trPr>
        <w:tc>
          <w:tcPr>
            <w:tcW w:w="3600" w:type="dxa"/>
            <w:shd w:val="clear" w:color="auto" w:fill="FFFFFF"/>
            <w:tcMar>
              <w:top w:w="100" w:type="dxa"/>
              <w:left w:w="120" w:type="dxa"/>
              <w:bottom w:w="100" w:type="dxa"/>
              <w:right w:w="120" w:type="dxa"/>
            </w:tcMar>
          </w:tcPr>
          <w:p w:rsidR="003014AC" w:rsidRDefault="00E31389">
            <w:pPr>
              <w:spacing w:after="0"/>
            </w:pPr>
            <w:r>
              <w:rPr>
                <w:sz w:val="19"/>
              </w:rPr>
              <w:t>First Advance Payment Recieved</w:t>
            </w:r>
          </w:p>
        </w:tc>
        <w:tc>
          <w:tcPr>
            <w:tcW w:w="2592" w:type="dxa"/>
            <w:shd w:val="clear" w:color="auto" w:fill="FFFFFF"/>
            <w:tcMar>
              <w:top w:w="100" w:type="dxa"/>
              <w:left w:w="120" w:type="dxa"/>
              <w:bottom w:w="100" w:type="dxa"/>
              <w:right w:w="120" w:type="dxa"/>
            </w:tcMar>
          </w:tcPr>
          <w:p w:rsidR="003014AC" w:rsidRDefault="00E31389">
            <w:pPr>
              <w:spacing w:after="0"/>
              <w:jc w:val="right"/>
            </w:pPr>
            <w:r>
              <w:rPr>
                <w:b/>
                <w:sz w:val="19"/>
              </w:rPr>
              <w:t>NRs. 61.30 Crore</w:t>
            </w:r>
          </w:p>
        </w:tc>
        <w:tc>
          <w:tcPr>
            <w:tcW w:w="3168" w:type="dxa"/>
            <w:shd w:val="clear" w:color="auto" w:fill="FFFFFF"/>
            <w:tcMar>
              <w:top w:w="100" w:type="dxa"/>
              <w:left w:w="120" w:type="dxa"/>
              <w:bottom w:w="100" w:type="dxa"/>
              <w:right w:w="120" w:type="dxa"/>
            </w:tcMar>
          </w:tcPr>
          <w:p w:rsidR="003014AC" w:rsidRDefault="00E31389">
            <w:pPr>
              <w:spacing w:after="0"/>
            </w:pPr>
            <w:r>
              <w:rPr>
                <w:sz w:val="19"/>
              </w:rPr>
              <w:t>Allocated for camps, mobilization, and plants</w:t>
            </w:r>
          </w:p>
        </w:tc>
      </w:tr>
    </w:tbl>
    <w:p w:rsidR="003014AC" w:rsidRDefault="003014AC">
      <w:pPr>
        <w:spacing w:after="240"/>
      </w:pPr>
    </w:p>
    <w:p w:rsidR="005C4E9D" w:rsidRDefault="005C4E9D">
      <w:pPr>
        <w:spacing w:after="240"/>
      </w:pPr>
    </w:p>
    <w:p w:rsidR="005C4E9D" w:rsidRPr="003B47FF" w:rsidRDefault="005C4E9D">
      <w:pPr>
        <w:spacing w:after="240"/>
        <w:rPr>
          <w:rFonts w:cs="Nirmala UI"/>
          <w:cs/>
          <w:lang w:bidi="ne-NP"/>
        </w:rPr>
      </w:pPr>
    </w:p>
    <w:p w:rsidR="003014AC" w:rsidRDefault="00E31389">
      <w:pPr>
        <w:pStyle w:val="Heading1"/>
      </w:pPr>
      <w:r>
        <w:lastRenderedPageBreak/>
        <w:t>2. Contractual Framework</w:t>
      </w:r>
    </w:p>
    <w:p w:rsidR="003014AC" w:rsidRDefault="00E31389">
      <w:r>
        <w:t>The execution of the primary construction packages of the Budhi Ganga Hydropower Project is structured under an Engineering, Procurement, and Construction (EPC) model, ensuring a clear division of risk and administrative oversight. The contractual parties governing the execution of the Lot 1 EPC works are detailed below:</w:t>
      </w:r>
    </w:p>
    <w:tbl>
      <w:tblPr>
        <w:tblW w:w="0" w:type="auto"/>
        <w:jc w:val="center"/>
        <w:tblBorders>
          <w:top w:val="single" w:sz="4" w:space="0" w:color="D3D3D3"/>
          <w:bottom w:val="single" w:sz="8" w:space="0" w:color="2F5496"/>
          <w:insideH w:val="single" w:sz="4" w:space="0" w:color="E0E0E0"/>
        </w:tblBorders>
        <w:tblLayout w:type="fixed"/>
        <w:tblLook w:val="04A0" w:firstRow="1" w:lastRow="0" w:firstColumn="1" w:lastColumn="0" w:noHBand="0" w:noVBand="1"/>
      </w:tblPr>
      <w:tblGrid>
        <w:gridCol w:w="3168"/>
        <w:gridCol w:w="6192"/>
      </w:tblGrid>
      <w:tr w:rsidR="003014AC">
        <w:trPr>
          <w:jc w:val="center"/>
        </w:trPr>
        <w:tc>
          <w:tcPr>
            <w:tcW w:w="3168" w:type="dxa"/>
            <w:shd w:val="clear" w:color="auto" w:fill="2F5496"/>
            <w:tcMar>
              <w:top w:w="120" w:type="dxa"/>
              <w:left w:w="120" w:type="dxa"/>
              <w:bottom w:w="120" w:type="dxa"/>
              <w:right w:w="120" w:type="dxa"/>
            </w:tcMar>
          </w:tcPr>
          <w:p w:rsidR="003014AC" w:rsidRDefault="00E31389">
            <w:pPr>
              <w:spacing w:after="0"/>
            </w:pPr>
            <w:r>
              <w:rPr>
                <w:b/>
                <w:color w:val="FFFFFF"/>
              </w:rPr>
              <w:t>Contractual Entity Role</w:t>
            </w:r>
          </w:p>
        </w:tc>
        <w:tc>
          <w:tcPr>
            <w:tcW w:w="6192" w:type="dxa"/>
            <w:shd w:val="clear" w:color="auto" w:fill="2F5496"/>
            <w:tcMar>
              <w:top w:w="120" w:type="dxa"/>
              <w:left w:w="120" w:type="dxa"/>
              <w:bottom w:w="120" w:type="dxa"/>
              <w:right w:w="120" w:type="dxa"/>
            </w:tcMar>
          </w:tcPr>
          <w:p w:rsidR="003014AC" w:rsidRDefault="00E31389">
            <w:pPr>
              <w:spacing w:after="0"/>
            </w:pPr>
            <w:r>
              <w:rPr>
                <w:b/>
                <w:color w:val="FFFFFF"/>
              </w:rPr>
              <w:t>Designated Organization Detail</w:t>
            </w:r>
          </w:p>
        </w:tc>
      </w:tr>
      <w:tr w:rsidR="003014AC">
        <w:trPr>
          <w:jc w:val="center"/>
        </w:trPr>
        <w:tc>
          <w:tcPr>
            <w:tcW w:w="3168" w:type="dxa"/>
            <w:shd w:val="clear" w:color="auto" w:fill="F9FBFD"/>
            <w:tcMar>
              <w:top w:w="100" w:type="dxa"/>
              <w:left w:w="120" w:type="dxa"/>
              <w:bottom w:w="100" w:type="dxa"/>
              <w:right w:w="120" w:type="dxa"/>
            </w:tcMar>
          </w:tcPr>
          <w:p w:rsidR="003014AC" w:rsidRDefault="00E31389">
            <w:pPr>
              <w:spacing w:after="0"/>
            </w:pPr>
            <w:r>
              <w:rPr>
                <w:b/>
                <w:sz w:val="19"/>
              </w:rPr>
              <w:t>Employer</w:t>
            </w:r>
          </w:p>
        </w:tc>
        <w:tc>
          <w:tcPr>
            <w:tcW w:w="6192" w:type="dxa"/>
            <w:shd w:val="clear" w:color="auto" w:fill="F9FBFD"/>
            <w:tcMar>
              <w:top w:w="100" w:type="dxa"/>
              <w:left w:w="120" w:type="dxa"/>
              <w:bottom w:w="100" w:type="dxa"/>
              <w:right w:w="120" w:type="dxa"/>
            </w:tcMar>
          </w:tcPr>
          <w:p w:rsidR="005C4E9D" w:rsidRDefault="00E31389">
            <w:pPr>
              <w:spacing w:after="0"/>
              <w:rPr>
                <w:sz w:val="19"/>
              </w:rPr>
            </w:pPr>
            <w:r>
              <w:rPr>
                <w:sz w:val="19"/>
              </w:rPr>
              <w:t>Department of Electricity Development (DoED),</w:t>
            </w:r>
          </w:p>
          <w:p w:rsidR="005C4E9D" w:rsidRDefault="00E31389">
            <w:pPr>
              <w:spacing w:after="0"/>
              <w:rPr>
                <w:sz w:val="19"/>
              </w:rPr>
            </w:pPr>
            <w:r>
              <w:rPr>
                <w:sz w:val="19"/>
              </w:rPr>
              <w:t xml:space="preserve">Ministry of Energy, Water Resources and Irrigation, </w:t>
            </w:r>
          </w:p>
          <w:p w:rsidR="003014AC" w:rsidRDefault="00E31389">
            <w:pPr>
              <w:spacing w:after="0"/>
            </w:pPr>
            <w:r>
              <w:rPr>
                <w:sz w:val="19"/>
              </w:rPr>
              <w:t>Government of Nepal.</w:t>
            </w:r>
          </w:p>
        </w:tc>
      </w:tr>
      <w:tr w:rsidR="003014AC">
        <w:trPr>
          <w:jc w:val="center"/>
        </w:trPr>
        <w:tc>
          <w:tcPr>
            <w:tcW w:w="3168" w:type="dxa"/>
            <w:shd w:val="clear" w:color="auto" w:fill="FFFFFF"/>
            <w:tcMar>
              <w:top w:w="100" w:type="dxa"/>
              <w:left w:w="120" w:type="dxa"/>
              <w:bottom w:w="100" w:type="dxa"/>
              <w:right w:w="120" w:type="dxa"/>
            </w:tcMar>
          </w:tcPr>
          <w:p w:rsidR="003014AC" w:rsidRDefault="00E31389">
            <w:pPr>
              <w:spacing w:after="0"/>
            </w:pPr>
            <w:r>
              <w:rPr>
                <w:b/>
                <w:sz w:val="19"/>
              </w:rPr>
              <w:t>Contractor</w:t>
            </w:r>
          </w:p>
        </w:tc>
        <w:tc>
          <w:tcPr>
            <w:tcW w:w="6192" w:type="dxa"/>
            <w:shd w:val="clear" w:color="auto" w:fill="FFFFFF"/>
            <w:tcMar>
              <w:top w:w="100" w:type="dxa"/>
              <w:left w:w="120" w:type="dxa"/>
              <w:bottom w:w="100" w:type="dxa"/>
              <w:right w:w="120" w:type="dxa"/>
            </w:tcMar>
          </w:tcPr>
          <w:p w:rsidR="003014AC" w:rsidRDefault="00E31389">
            <w:pPr>
              <w:spacing w:after="0"/>
            </w:pPr>
            <w:r>
              <w:rPr>
                <w:sz w:val="19"/>
              </w:rPr>
              <w:t>Sichuan Superpower Engineering Construction Co. Ltd. &amp; Baniya Nirman Sewa Pvt. Ltd. JV (Sichuan-Baniya JV).</w:t>
            </w:r>
          </w:p>
        </w:tc>
      </w:tr>
      <w:tr w:rsidR="003014AC">
        <w:trPr>
          <w:jc w:val="center"/>
        </w:trPr>
        <w:tc>
          <w:tcPr>
            <w:tcW w:w="3168" w:type="dxa"/>
            <w:shd w:val="clear" w:color="auto" w:fill="F9FBFD"/>
            <w:tcMar>
              <w:top w:w="100" w:type="dxa"/>
              <w:left w:w="120" w:type="dxa"/>
              <w:bottom w:w="100" w:type="dxa"/>
              <w:right w:w="120" w:type="dxa"/>
            </w:tcMar>
          </w:tcPr>
          <w:p w:rsidR="003014AC" w:rsidRDefault="00E31389">
            <w:pPr>
              <w:spacing w:after="0"/>
            </w:pPr>
            <w:r>
              <w:rPr>
                <w:b/>
                <w:sz w:val="19"/>
              </w:rPr>
              <w:t>Total Contract Value</w:t>
            </w:r>
          </w:p>
        </w:tc>
        <w:tc>
          <w:tcPr>
            <w:tcW w:w="6192" w:type="dxa"/>
            <w:shd w:val="clear" w:color="auto" w:fill="F9FBFD"/>
            <w:tcMar>
              <w:top w:w="100" w:type="dxa"/>
              <w:left w:w="120" w:type="dxa"/>
              <w:bottom w:w="100" w:type="dxa"/>
              <w:right w:w="120" w:type="dxa"/>
            </w:tcMar>
          </w:tcPr>
          <w:p w:rsidR="003014AC" w:rsidRDefault="00E31389">
            <w:pPr>
              <w:spacing w:after="0"/>
            </w:pPr>
            <w:r>
              <w:rPr>
                <w:sz w:val="19"/>
              </w:rPr>
              <w:t>NRs. 6,935,254,603.62</w:t>
            </w:r>
          </w:p>
        </w:tc>
      </w:tr>
      <w:tr w:rsidR="003014AC">
        <w:trPr>
          <w:jc w:val="center"/>
        </w:trPr>
        <w:tc>
          <w:tcPr>
            <w:tcW w:w="3168" w:type="dxa"/>
            <w:shd w:val="clear" w:color="auto" w:fill="FFFFFF"/>
            <w:tcMar>
              <w:top w:w="100" w:type="dxa"/>
              <w:left w:w="120" w:type="dxa"/>
              <w:bottom w:w="100" w:type="dxa"/>
              <w:right w:w="120" w:type="dxa"/>
            </w:tcMar>
          </w:tcPr>
          <w:p w:rsidR="003014AC" w:rsidRDefault="00E31389">
            <w:pPr>
              <w:spacing w:after="0"/>
            </w:pPr>
            <w:r>
              <w:rPr>
                <w:b/>
                <w:sz w:val="19"/>
              </w:rPr>
              <w:t>Owner's Engineer</w:t>
            </w:r>
          </w:p>
        </w:tc>
        <w:tc>
          <w:tcPr>
            <w:tcW w:w="6192" w:type="dxa"/>
            <w:shd w:val="clear" w:color="auto" w:fill="FFFFFF"/>
            <w:tcMar>
              <w:top w:w="100" w:type="dxa"/>
              <w:left w:w="120" w:type="dxa"/>
              <w:bottom w:w="100" w:type="dxa"/>
              <w:right w:w="120" w:type="dxa"/>
            </w:tcMar>
          </w:tcPr>
          <w:p w:rsidR="003014AC" w:rsidRDefault="00E31389">
            <w:pPr>
              <w:spacing w:after="0"/>
            </w:pPr>
            <w:r>
              <w:rPr>
                <w:sz w:val="19"/>
              </w:rPr>
              <w:t>PINI-BIDR-SIDEF JV.</w:t>
            </w:r>
          </w:p>
        </w:tc>
      </w:tr>
    </w:tbl>
    <w:p w:rsidR="003014AC" w:rsidRDefault="003014AC">
      <w:pPr>
        <w:spacing w:after="240"/>
      </w:pPr>
    </w:p>
    <w:p w:rsidR="003014AC" w:rsidRDefault="00E31389">
      <w:pPr>
        <w:pStyle w:val="Heading1"/>
      </w:pPr>
      <w:r>
        <w:t>3. Technical Configuration &amp; Design</w:t>
      </w:r>
    </w:p>
    <w:p w:rsidR="003014AC" w:rsidRDefault="00E31389">
      <w:r>
        <w:t>The 20 MW Budhi Ganga Hydropower Project is designed as a high-head Peaking Run-of-River (PRoR) system, conceived to act as a regional anchor for energy stability in Nepal's grid-deficient Far Western region. The technical layout utilizes the considerable natural drop and consistent hydraulic discharge of the Budhi Ganga River. Crucially, the PRoR design permits a strategic 6.0-hour peaking window during the dry-season peak periods (with focus on the extreme demand month of April), utilizing an active live storage volume of approximately 582,581 m³.</w:t>
      </w:r>
    </w:p>
    <w:p w:rsidR="003014AC" w:rsidRDefault="00E31389">
      <w:r>
        <w:t>The hydraulic headworks utilize a gross head of 94.83 meters to drive an annual estimated energy generation of 109.61 GWh. Highlighting the stark hydrology variation between seasons, the annual yield splits into 33.54 GWh of dry-season energy and 76.07 GWh of wet-season energy, which will feed into the regional grid interconnection across the borders of the Achham and Bajura districts.</w:t>
      </w:r>
    </w:p>
    <w:p w:rsidR="003014AC" w:rsidRDefault="00E31389">
      <w:pPr>
        <w:pStyle w:val="Heading2"/>
      </w:pPr>
      <w:r>
        <w:t>Primary Physical Engineering Components</w:t>
      </w:r>
    </w:p>
    <w:p w:rsidR="003014AC" w:rsidRDefault="00E31389">
      <w:pPr>
        <w:spacing w:after="80"/>
      </w:pPr>
      <w:r>
        <w:rPr>
          <w:b/>
        </w:rPr>
        <w:t xml:space="preserve">•  Headworks and Concrete Dam: </w:t>
      </w:r>
      <w:r>
        <w:rPr>
          <w:sz w:val="21"/>
        </w:rPr>
        <w:t>Sited at Budhabagar, the river impoundment consists of a solid concrete dam measuring 86 meters in crest length and rising to a height of 44 meters. This structure regulates the intake flows and establishes the live pool needed for the 6-hour daily peaking operations.</w:t>
      </w:r>
    </w:p>
    <w:p w:rsidR="003014AC" w:rsidRDefault="00E31389">
      <w:pPr>
        <w:spacing w:after="80"/>
      </w:pPr>
      <w:r>
        <w:rPr>
          <w:b/>
        </w:rPr>
        <w:t xml:space="preserve">•  Surface Settling Basin: </w:t>
      </w:r>
      <w:r>
        <w:rPr>
          <w:sz w:val="21"/>
        </w:rPr>
        <w:t>A two-bay surface settling basin designed strictly on the Dufour-type principles (dimensions: 92 meters by 12 meters) is engineered to drop out abrasive sediment, targeting a particle removal limit of 0.2 mm to prevent downstream turbine runner erosion.</w:t>
      </w:r>
    </w:p>
    <w:p w:rsidR="003014AC" w:rsidRDefault="00E31389">
      <w:pPr>
        <w:spacing w:after="80"/>
      </w:pPr>
      <w:r>
        <w:rPr>
          <w:b/>
        </w:rPr>
        <w:t xml:space="preserve">•  Headrace Tunnel (HRT): </w:t>
      </w:r>
      <w:r>
        <w:rPr>
          <w:sz w:val="21"/>
        </w:rPr>
        <w:t>A major engineering optimization was achieved during the design review period: the Contractor has successfully reduced the headrace tunnel length to 5,575 meters, representing an 85-meter length reduction from the 5,660-meter DPR design. The excavation follows an inverted D-shape profile to maximize structural stability and flow efficiency.</w:t>
      </w:r>
    </w:p>
    <w:p w:rsidR="003014AC" w:rsidRDefault="00E31389">
      <w:pPr>
        <w:spacing w:after="80"/>
      </w:pPr>
      <w:r>
        <w:rPr>
          <w:b/>
        </w:rPr>
        <w:lastRenderedPageBreak/>
        <w:t xml:space="preserve">•  Surge Shaft: </w:t>
      </w:r>
      <w:r>
        <w:rPr>
          <w:sz w:val="21"/>
        </w:rPr>
        <w:t>At the terminus of the HRT, a restricted orifice-type surge tank with an internal diameter of 7.50 meters is provided to absorb hydraulic water-hammer transients during emergency shutdowns and load acceptance.</w:t>
      </w:r>
    </w:p>
    <w:p w:rsidR="003014AC" w:rsidRDefault="00E31389">
      <w:pPr>
        <w:spacing w:after="240"/>
      </w:pPr>
      <w:r>
        <w:rPr>
          <w:b/>
        </w:rPr>
        <w:t xml:space="preserve">•  Powerhouse Complex: </w:t>
      </w:r>
      <w:r>
        <w:rPr>
          <w:sz w:val="21"/>
        </w:rPr>
        <w:t>The powerhouse is situated on the river banks at Thapagaon. It operates with a tailwater discharge level of 623.17 masl and houses two identical generating units designed to deliver a combined capacity of 20 MW.</w:t>
      </w:r>
    </w:p>
    <w:p w:rsidR="003014AC" w:rsidRDefault="00E31389">
      <w:pPr>
        <w:pStyle w:val="Heading1"/>
      </w:pPr>
      <w:r>
        <w:t>4. Survey, Design, and Geotechnical Investigations</w:t>
      </w:r>
    </w:p>
    <w:p w:rsidR="003014AC" w:rsidRDefault="00E31389">
      <w:r>
        <w:t>Precision in geotechnical and hydrological modeling is the absolute prerequisite for ensuring the long-term structural integrity of the project’s high-head components. The current reporting period has heavily focused on validating subsurface conditions and analyzing site topography to translate the conceptual plans into construction-ready designs.</w:t>
      </w:r>
    </w:p>
    <w:tbl>
      <w:tblPr>
        <w:tblW w:w="0" w:type="auto"/>
        <w:jc w:val="center"/>
        <w:tblLayout w:type="fixed"/>
        <w:tblLook w:val="04A0" w:firstRow="1" w:lastRow="0" w:firstColumn="1" w:lastColumn="0" w:noHBand="0" w:noVBand="1"/>
      </w:tblPr>
      <w:tblGrid>
        <w:gridCol w:w="9360"/>
      </w:tblGrid>
      <w:tr w:rsidR="003014AC">
        <w:trPr>
          <w:jc w:val="center"/>
        </w:trPr>
        <w:tc>
          <w:tcPr>
            <w:tcW w:w="9360" w:type="dxa"/>
            <w:tcBorders>
              <w:left w:val="single" w:sz="24" w:space="0" w:color="2F5496"/>
            </w:tcBorders>
            <w:shd w:val="clear" w:color="auto" w:fill="F2F4F8"/>
            <w:tcMar>
              <w:top w:w="140" w:type="dxa"/>
              <w:left w:w="200" w:type="dxa"/>
              <w:bottom w:w="140" w:type="dxa"/>
              <w:right w:w="140" w:type="dxa"/>
            </w:tcMar>
          </w:tcPr>
          <w:p w:rsidR="003014AC" w:rsidRDefault="00E31389">
            <w:pPr>
              <w:spacing w:before="80" w:after="80"/>
            </w:pPr>
            <w:r>
              <w:rPr>
                <w:b/>
                <w:color w:val="2F5496"/>
                <w:sz w:val="22"/>
              </w:rPr>
              <w:t>GEOPHYSICAL TOMOGRAPHY CAMPAIGN COMPLETE</w:t>
            </w:r>
            <w:r>
              <w:rPr>
                <w:b/>
                <w:color w:val="2F5496"/>
                <w:sz w:val="22"/>
              </w:rPr>
              <w:br/>
            </w:r>
            <w:r>
              <w:rPr>
                <w:color w:val="505050"/>
                <w:sz w:val="21"/>
              </w:rPr>
              <w:t>In late June 2026, the technical teams successfully concluded a massive 1,800-meter Electrical Resistivity Tomography (ERT) geophysical campaign. Comprising 7 distinct survey lines cross-cutting the powerhouse, surge shaft, headworks, and tunnel adits, this sub-surface mapping has successfully delineated critical lithological boundaries and confirmed the absence of major fluid-rich shear zones or fault voids along the primary excavation fronts.</w:t>
            </w:r>
          </w:p>
        </w:tc>
      </w:tr>
    </w:tbl>
    <w:p w:rsidR="003014AC" w:rsidRDefault="003014AC">
      <w:pPr>
        <w:spacing w:after="240"/>
      </w:pPr>
    </w:p>
    <w:p w:rsidR="003014AC" w:rsidRDefault="00E31389">
      <w:pPr>
        <w:pStyle w:val="Heading2"/>
      </w:pPr>
      <w:r>
        <w:t>Subsurface Geotechnical Milestones</w:t>
      </w:r>
    </w:p>
    <w:p w:rsidR="003014AC" w:rsidRDefault="00E31389">
      <w:r>
        <w:t>Key geological and geotechnical parameters verified during the field campaign include the following critical milestones:</w:t>
      </w:r>
    </w:p>
    <w:p w:rsidR="003014AC" w:rsidRDefault="00E31389">
      <w:pPr>
        <w:spacing w:after="80"/>
      </w:pPr>
      <w:r>
        <w:rPr>
          <w:b/>
        </w:rPr>
        <w:t xml:space="preserve">•  Comprehensive 8-Borehole Program: </w:t>
      </w:r>
      <w:r>
        <w:rPr>
          <w:sz w:val="21"/>
        </w:rPr>
        <w:t>A targeted 8-borehole deep drilling program was successfully completed, spanning key structural footprints across the headworks, the powerhouse site, and the access adit locations. The core logs are currently undergoing detailed laboratory testing to classify the mechanical strength parameters of the rock mass.</w:t>
      </w:r>
    </w:p>
    <w:p w:rsidR="003014AC" w:rsidRDefault="00E31389">
      <w:pPr>
        <w:spacing w:after="80"/>
      </w:pPr>
      <w:r>
        <w:rPr>
          <w:b/>
        </w:rPr>
        <w:t xml:space="preserve">•  Lithological Validation and Rock Class Mapping: </w:t>
      </w:r>
      <w:r>
        <w:rPr>
          <w:sz w:val="21"/>
        </w:rPr>
        <w:t>Geological mapping and borehole cores confirm that the tunnel alignment and major foundations lie within the regionally significant Dadeldhura Klippe. The dominant lithology is identified as competent Quartzo-Feldspathic Augen Gneiss. The design team projects that the Headrace Tunnel (HRT) will predominantly encounter Rock Support Classes III to V.</w:t>
      </w:r>
    </w:p>
    <w:p w:rsidR="003014AC" w:rsidRDefault="00E31389">
      <w:pPr>
        <w:spacing w:after="240"/>
      </w:pPr>
      <w:r>
        <w:rPr>
          <w:b/>
        </w:rPr>
        <w:t xml:space="preserve">•  100% Survey Completion: </w:t>
      </w:r>
      <w:r>
        <w:rPr>
          <w:sz w:val="21"/>
        </w:rPr>
        <w:t>Topographical and bathymetric surveys are now 100% complete. Final reviews and feedback are being integrated to ensure millimeter precision in positioning the dam axis and the tunnel horizontal alignments. Simultaneously, monsoon-resilient hydrological models and river diversion structures are being simulated to safeguard the works during volatile flood periods.</w:t>
      </w:r>
    </w:p>
    <w:p w:rsidR="003014AC" w:rsidRDefault="00E31389">
      <w:pPr>
        <w:pStyle w:val="Heading1"/>
      </w:pPr>
      <w:r>
        <w:lastRenderedPageBreak/>
        <w:t>5. Preparatory Site Infrastructure &amp; Critical Bottlenecks</w:t>
      </w:r>
    </w:p>
    <w:p w:rsidR="003014AC" w:rsidRDefault="00E31389">
      <w:r>
        <w:t>Full-scale mobilization relies heavily on the quick establishment of camp facilities, power networks, and testing laboratories. While physical construction of the primary structures awaits final clearances, significant logistical progress has been achieved on site.</w:t>
      </w:r>
    </w:p>
    <w:p w:rsidR="003014AC" w:rsidRDefault="00E31389">
      <w:pPr>
        <w:pStyle w:val="Heading2"/>
      </w:pPr>
      <w:r>
        <w:t>Preparatory Works Status</w:t>
      </w:r>
    </w:p>
    <w:p w:rsidR="003014AC" w:rsidRDefault="00E31389">
      <w:pPr>
        <w:spacing w:after="80"/>
      </w:pPr>
      <w:r>
        <w:rPr>
          <w:b/>
        </w:rPr>
        <w:t xml:space="preserve">•  Camps and Housing: </w:t>
      </w:r>
      <w:r>
        <w:rPr>
          <w:sz w:val="21"/>
        </w:rPr>
        <w:t>The Owner's Engineer's executive camp, situated near the powerhouse site, has reached the post-erection stage, with internal electrical and architectural finishing currently in progress. At the Budhabagar headworks, land preparation for the Contractor's primary construction camp is moving forward.</w:t>
      </w:r>
    </w:p>
    <w:p w:rsidR="003014AC" w:rsidRDefault="00E31389">
      <w:pPr>
        <w:spacing w:after="80"/>
      </w:pPr>
      <w:r>
        <w:rPr>
          <w:b/>
        </w:rPr>
        <w:t xml:space="preserve">•  Construction Power Grid: </w:t>
      </w:r>
      <w:r>
        <w:rPr>
          <w:sz w:val="21"/>
        </w:rPr>
        <w:t>Substantial headway was achieved in site electrification. All 38 heavy electric poles required for the construction power supply have been delivered to the site. 16 of these poles have already been successfully erected</w:t>
      </w:r>
      <w:r w:rsidR="005C4E9D">
        <w:rPr>
          <w:sz w:val="21"/>
        </w:rPr>
        <w:t>.</w:t>
      </w:r>
    </w:p>
    <w:p w:rsidR="003014AC" w:rsidRDefault="00E31389">
      <w:pPr>
        <w:spacing w:after="240"/>
      </w:pPr>
      <w:r>
        <w:rPr>
          <w:b/>
        </w:rPr>
        <w:t xml:space="preserve">•  Quality Control and Material Testing: </w:t>
      </w:r>
      <w:r>
        <w:rPr>
          <w:sz w:val="21"/>
        </w:rPr>
        <w:t>The on-site material testing laboratory is nearing operations following the completion of the Plain Cement Concrete (PCC) foundation slab. In the interim, to avoid any quality control bottlenecks, the project is actively utilizing the authorized divisional road laboratories located in Sanfebagar or Kathmandu for all mandatory concrete and aggregate strength validations.</w:t>
      </w:r>
    </w:p>
    <w:p w:rsidR="003014AC" w:rsidRDefault="00E31389">
      <w:pPr>
        <w:pStyle w:val="Heading2"/>
      </w:pPr>
      <w:r>
        <w:t>Critical Concerns &amp; Project Bottlenecks</w:t>
      </w:r>
    </w:p>
    <w:p w:rsidR="003014AC" w:rsidRDefault="00E31389">
      <w:r>
        <w:t>To protect the critical path and ensure adherence to the March 2029 deadline, a transparent review of key risks and constraints is essential. Management has flagged three primary bottlenecks requiring immediate high-level administrative intervention:</w:t>
      </w:r>
    </w:p>
    <w:p w:rsidR="003014AC" w:rsidRDefault="00E31389">
      <w:pPr>
        <w:spacing w:after="80"/>
      </w:pPr>
      <w:r>
        <w:rPr>
          <w:b/>
        </w:rPr>
        <w:t xml:space="preserve">1.  Explosives Acquisition and Licensing Delay: </w:t>
      </w:r>
      <w:r>
        <w:rPr>
          <w:sz w:val="21"/>
        </w:rPr>
        <w:t>The administrative delay in securing the mandatory explosives purchase and storage license has reached a critical stage. This bottleneck directly threatens the 2026/2027 river diversion window. Because river diversion is highly dependent on seasonality, any failure to complete the diversion tunnel excavation before the monsoon peaks will result in a non-recoverable 12-month delay to the entire project schedule.</w:t>
      </w:r>
    </w:p>
    <w:p w:rsidR="003014AC" w:rsidRDefault="00E31389">
      <w:pPr>
        <w:spacing w:after="80"/>
      </w:pPr>
      <w:r>
        <w:rPr>
          <w:b/>
        </w:rPr>
        <w:t xml:space="preserve">2.  Access Road Land Possession Disputes: </w:t>
      </w:r>
      <w:r>
        <w:rPr>
          <w:sz w:val="21"/>
        </w:rPr>
        <w:t>Specific private and communal land segments along the primary access road are currently locked in possession and compensation disputes. This restriction blocks the mobilization of heavy mechanical fleets to secondary work fronts and adit accesses, confining the contractor's machinery to a single, restricted zone.</w:t>
      </w:r>
    </w:p>
    <w:p w:rsidR="003014AC" w:rsidRDefault="00E31389">
      <w:pPr>
        <w:spacing w:after="80"/>
      </w:pPr>
      <w:r>
        <w:rPr>
          <w:b/>
        </w:rPr>
        <w:t xml:space="preserve">3.  Bailey Bridge Width and Span Redesign: </w:t>
      </w:r>
      <w:r>
        <w:rPr>
          <w:sz w:val="21"/>
        </w:rPr>
        <w:t>The critical Bailey Bridge crossing the Budhi Ganga River must be redesigned and resubmitted. To safely support the transport of heavy specialized hydromechanical equipment (turbines, generators, transformers), the deck width must be standardized to a minimum of 4.25 meters. Additionally, the bridge must feature a 40-meter clear span to</w:t>
      </w:r>
      <w:r w:rsidR="005C4E9D">
        <w:rPr>
          <w:sz w:val="21"/>
        </w:rPr>
        <w:t xml:space="preserve"> cross the active river channel.</w:t>
      </w:r>
    </w:p>
    <w:p w:rsidR="003014AC" w:rsidRDefault="00E31389">
      <w:pPr>
        <w:spacing w:after="240"/>
      </w:pPr>
      <w:r>
        <w:rPr>
          <w:b/>
        </w:rPr>
        <w:t xml:space="preserve">Integrated Remedial Actions: </w:t>
      </w:r>
      <w:r>
        <w:rPr>
          <w:sz w:val="21"/>
        </w:rPr>
        <w:t>In response to these challenges, the Department of Electricity Development (DoED) and the Owner's Engineer are aggressively coordinating forest clearance and tree enumeration protocols. The technical teams are working on-site in direct collaboration with the Achham and Bajura Division Forest Offices and the local Community Forestry Users Groups to secure the right-of-way and clear the remaining administrative barriers.</w:t>
      </w:r>
    </w:p>
    <w:sectPr w:rsidR="003014AC" w:rsidSect="00034616">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FE6" w:rsidRDefault="00914FE6">
      <w:pPr>
        <w:spacing w:after="0" w:line="240" w:lineRule="auto"/>
      </w:pPr>
      <w:r>
        <w:separator/>
      </w:r>
    </w:p>
  </w:endnote>
  <w:endnote w:type="continuationSeparator" w:id="0">
    <w:p w:rsidR="00914FE6" w:rsidRDefault="00914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angal">
    <w:altName w:val="ESRI NIMA VMAP1&amp;2 PT"/>
    <w:panose1 w:val="00000400000000000000"/>
    <w:charset w:val="01"/>
    <w:family w:val="roman"/>
    <w:pitch w:val="variable"/>
    <w:sig w:usb0="00002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4AC" w:rsidRDefault="003B47FF">
    <w:pPr>
      <w:pStyle w:val="Footer"/>
      <w:jc w:val="center"/>
    </w:pPr>
    <w:r>
      <w:rPr>
        <w:color w:val="808080"/>
        <w:sz w:val="17"/>
      </w:rPr>
      <w:t>Budhiganga Hydropower Project</w:t>
    </w:r>
    <w:r w:rsidR="00E31389">
      <w:rPr>
        <w:color w:val="808080"/>
        <w:sz w:val="17"/>
      </w:rPr>
      <w:t xml:space="preserve">  |  Page </w:t>
    </w:r>
    <w:r w:rsidR="00E31389">
      <w:rPr>
        <w:color w:val="808080"/>
        <w:sz w:val="17"/>
      </w:rPr>
      <w:fldChar w:fldCharType="begin"/>
    </w:r>
    <w:r w:rsidR="00E31389">
      <w:rPr>
        <w:color w:val="808080"/>
        <w:sz w:val="17"/>
      </w:rPr>
      <w:instrText>PAGE</w:instrText>
    </w:r>
    <w:r w:rsidR="00E31389">
      <w:rPr>
        <w:color w:val="808080"/>
        <w:sz w:val="17"/>
      </w:rPr>
      <w:fldChar w:fldCharType="separate"/>
    </w:r>
    <w:r w:rsidR="00622B79">
      <w:rPr>
        <w:noProof/>
        <w:color w:val="808080"/>
        <w:sz w:val="17"/>
      </w:rPr>
      <w:t>2</w:t>
    </w:r>
    <w:r w:rsidR="00E31389">
      <w:rPr>
        <w:color w:val="808080"/>
        <w:sz w:val="17"/>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FE6" w:rsidRDefault="00914FE6">
      <w:pPr>
        <w:spacing w:after="0" w:line="240" w:lineRule="auto"/>
      </w:pPr>
      <w:r>
        <w:separator/>
      </w:r>
    </w:p>
  </w:footnote>
  <w:footnote w:type="continuationSeparator" w:id="0">
    <w:p w:rsidR="00914FE6" w:rsidRDefault="00914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4AC" w:rsidRDefault="00E31389">
    <w:pPr>
      <w:pStyle w:val="Header"/>
      <w:jc w:val="right"/>
    </w:pPr>
    <w:r>
      <w:rPr>
        <w:color w:val="808080"/>
        <w:sz w:val="17"/>
      </w:rPr>
      <w:t>Budhi Ganga Hydropower Project (20 MW) | Progress Report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014AC"/>
    <w:rsid w:val="00326F90"/>
    <w:rsid w:val="003B47FF"/>
    <w:rsid w:val="005C4E9D"/>
    <w:rsid w:val="00622B79"/>
    <w:rsid w:val="00914FE6"/>
    <w:rsid w:val="00AA1D8D"/>
    <w:rsid w:val="00B47730"/>
    <w:rsid w:val="00CB0664"/>
    <w:rsid w:val="00E31389"/>
    <w:rsid w:val="00EC732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73B137"/>
  <w14:defaultImageDpi w14:val="300"/>
  <w15:docId w15:val="{611DFCDE-2EEB-4529-946C-94475A354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160"/>
    </w:pPr>
    <w:rPr>
      <w:rFonts w:ascii="Calibri" w:hAnsi="Calibri"/>
      <w:i/>
      <w:color w:val="333333"/>
      <w:sz w:val="20"/>
    </w:rPr>
  </w:style>
  <w:style w:type="paragraph" w:styleId="Heading1">
    <w:name w:val="heading 1"/>
    <w:basedOn w:val="Normal"/>
    <w:next w:val="Normal"/>
    <w:link w:val="Heading1Char"/>
    <w:uiPriority w:val="9"/>
    <w:qFormat/>
    <w:rsid w:val="00FC693F"/>
    <w:pPr>
      <w:keepNext/>
      <w:keepLines/>
      <w:spacing w:before="360" w:after="120"/>
      <w:outlineLvl w:val="0"/>
    </w:pPr>
    <w:rPr>
      <w:rFonts w:asciiTheme="majorHAnsi" w:eastAsiaTheme="majorEastAsia" w:hAnsiTheme="majorHAnsi" w:cstheme="majorBidi"/>
      <w:b/>
      <w:bCs/>
      <w:color w:val="2F5496"/>
      <w:sz w:val="36"/>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Theme="majorHAnsi" w:eastAsiaTheme="majorEastAsia" w:hAnsiTheme="majorHAnsi" w:cstheme="majorBidi"/>
      <w:b/>
      <w:bCs/>
      <w:color w:val="5975A4"/>
      <w:sz w:val="28"/>
      <w:szCs w:val="26"/>
    </w:rPr>
  </w:style>
  <w:style w:type="paragraph" w:styleId="Heading3">
    <w:name w:val="heading 3"/>
    <w:basedOn w:val="Normal"/>
    <w:next w:val="Normal"/>
    <w:link w:val="Heading3Char"/>
    <w:uiPriority w:val="9"/>
    <w:unhideWhenUsed/>
    <w:qFormat/>
    <w:rsid w:val="00FC693F"/>
    <w:pPr>
      <w:keepNext/>
      <w:keepLines/>
      <w:spacing w:before="160" w:after="40"/>
      <w:outlineLvl w:val="2"/>
    </w:pPr>
    <w:rPr>
      <w:rFonts w:asciiTheme="majorHAnsi" w:eastAsiaTheme="majorEastAsia" w:hAnsiTheme="majorHAnsi" w:cstheme="majorBidi"/>
      <w:b/>
      <w:bCs/>
      <w:color w:val="7878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B2EEB-CD5B-4299-AE95-F8F1AD4B6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1647</Words>
  <Characters>9392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11017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Dell</cp:lastModifiedBy>
  <cp:revision>4</cp:revision>
  <cp:lastPrinted>2026-08-08T07:29:00Z</cp:lastPrinted>
  <dcterms:created xsi:type="dcterms:W3CDTF">2013-12-23T23:15:00Z</dcterms:created>
  <dcterms:modified xsi:type="dcterms:W3CDTF">2026-08-09T07:09:00Z</dcterms:modified>
  <cp:category/>
</cp:coreProperties>
</file>